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75FC6" w14:textId="11A5629B" w:rsidR="002D6889" w:rsidRDefault="00FC7C5F" w:rsidP="00FC7C5F">
      <w:pPr>
        <w:tabs>
          <w:tab w:val="left" w:pos="8550"/>
        </w:tabs>
      </w:pPr>
      <w:r>
        <w:tab/>
      </w:r>
    </w:p>
    <w:p w14:paraId="5B48B7AC" w14:textId="3D521967" w:rsidR="00FC7C5F" w:rsidRPr="00FC7C5F" w:rsidRDefault="00FC7C5F" w:rsidP="00FC7C5F">
      <w:pPr>
        <w:tabs>
          <w:tab w:val="center" w:pos="5099"/>
        </w:tabs>
        <w:sectPr w:rsidR="00FC7C5F" w:rsidRPr="00FC7C5F" w:rsidSect="00B55B1C">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134" w:right="851" w:bottom="1134" w:left="851" w:header="567" w:footer="567" w:gutter="0"/>
          <w:cols w:space="708"/>
          <w:titlePg/>
          <w:docGrid w:linePitch="360"/>
        </w:sectPr>
      </w:pPr>
      <w:r>
        <w:tab/>
      </w:r>
    </w:p>
    <w:p w14:paraId="5B48B7AD" w14:textId="77777777" w:rsidR="00CF767E" w:rsidRPr="006A0E62" w:rsidRDefault="00CF767E" w:rsidP="00CF767E">
      <w:pPr>
        <w:jc w:val="both"/>
        <w:rPr>
          <w:noProof/>
          <w:sz w:val="20"/>
          <w:szCs w:val="20"/>
          <w:lang w:eastAsia="en-GB"/>
        </w:rPr>
      </w:pPr>
    </w:p>
    <w:p w14:paraId="5B48B7AE" w14:textId="77777777" w:rsidR="00BC644F" w:rsidRDefault="00BC644F" w:rsidP="00BC644F">
      <w:pPr>
        <w:jc w:val="center"/>
        <w:rPr>
          <w:rFonts w:cs="Arial"/>
          <w:b/>
          <w:sz w:val="56"/>
          <w:szCs w:val="56"/>
        </w:rPr>
      </w:pPr>
    </w:p>
    <w:p w14:paraId="5B48B7AF" w14:textId="77777777" w:rsidR="00BC644F" w:rsidRPr="00C903F8" w:rsidRDefault="00BC644F" w:rsidP="00BC644F">
      <w:pPr>
        <w:pStyle w:val="Default"/>
        <w:rPr>
          <w:rFonts w:ascii="Arial" w:eastAsia="MS Mincho" w:hAnsi="Arial" w:cs="Arial"/>
        </w:rPr>
      </w:pPr>
      <w:r>
        <w:rPr>
          <w:rFonts w:cs="Arial"/>
          <w:b/>
          <w:sz w:val="56"/>
          <w:szCs w:val="56"/>
        </w:rPr>
        <w:t xml:space="preserve"> </w:t>
      </w:r>
    </w:p>
    <w:p w14:paraId="5B48B7B0" w14:textId="77777777" w:rsidR="00BC644F" w:rsidRDefault="00BC644F" w:rsidP="00BC644F">
      <w:pPr>
        <w:jc w:val="center"/>
        <w:rPr>
          <w:rFonts w:cs="Arial"/>
          <w:color w:val="000000"/>
          <w:lang w:eastAsia="en-GB"/>
        </w:rPr>
      </w:pPr>
    </w:p>
    <w:p w14:paraId="5B48B7B1" w14:textId="77777777" w:rsidR="00BC644F" w:rsidRDefault="00BC644F" w:rsidP="00BC644F">
      <w:pPr>
        <w:jc w:val="center"/>
        <w:rPr>
          <w:rFonts w:cs="Arial"/>
          <w:color w:val="000000"/>
          <w:lang w:eastAsia="en-GB"/>
        </w:rPr>
      </w:pPr>
    </w:p>
    <w:p w14:paraId="5B48B7B2" w14:textId="77777777" w:rsidR="00BC644F" w:rsidRDefault="00BC644F" w:rsidP="00BC644F">
      <w:pPr>
        <w:jc w:val="center"/>
        <w:rPr>
          <w:rFonts w:cs="Arial"/>
          <w:color w:val="000000"/>
          <w:lang w:eastAsia="en-GB"/>
        </w:rPr>
      </w:pPr>
    </w:p>
    <w:p w14:paraId="5B48B7B3" w14:textId="0EF266CC" w:rsidR="00BC644F" w:rsidRDefault="00BA7ECE" w:rsidP="00BC644F">
      <w:pPr>
        <w:jc w:val="center"/>
        <w:rPr>
          <w:rFonts w:cs="Arial"/>
          <w:b/>
          <w:color w:val="A00054"/>
          <w:sz w:val="64"/>
          <w:szCs w:val="64"/>
        </w:rPr>
      </w:pPr>
      <w:r>
        <w:rPr>
          <w:rFonts w:cs="Arial"/>
          <w:b/>
          <w:color w:val="A00054"/>
          <w:sz w:val="64"/>
          <w:szCs w:val="64"/>
        </w:rPr>
        <w:t>Programme</w:t>
      </w:r>
      <w:r w:rsidR="00BC644F">
        <w:rPr>
          <w:rFonts w:cs="Arial"/>
          <w:b/>
          <w:color w:val="A00054"/>
          <w:sz w:val="64"/>
          <w:szCs w:val="64"/>
        </w:rPr>
        <w:t xml:space="preserve"> </w:t>
      </w:r>
      <w:r w:rsidR="00F304E8">
        <w:rPr>
          <w:rFonts w:cs="Arial"/>
          <w:b/>
          <w:color w:val="A00054"/>
          <w:sz w:val="64"/>
          <w:szCs w:val="64"/>
        </w:rPr>
        <w:t>review o</w:t>
      </w:r>
      <w:r w:rsidR="00BC644F">
        <w:rPr>
          <w:rFonts w:cs="Arial"/>
          <w:b/>
          <w:color w:val="A00054"/>
          <w:sz w:val="64"/>
          <w:szCs w:val="64"/>
        </w:rPr>
        <w:t xml:space="preserve">utcome </w:t>
      </w:r>
      <w:r w:rsidR="00F304E8">
        <w:rPr>
          <w:rFonts w:cs="Arial"/>
          <w:b/>
          <w:color w:val="A00054"/>
          <w:sz w:val="64"/>
          <w:szCs w:val="64"/>
        </w:rPr>
        <w:t>r</w:t>
      </w:r>
      <w:r w:rsidR="00BC644F">
        <w:rPr>
          <w:rFonts w:cs="Arial"/>
          <w:b/>
          <w:color w:val="A00054"/>
          <w:sz w:val="64"/>
          <w:szCs w:val="64"/>
        </w:rPr>
        <w:t>eport</w:t>
      </w:r>
    </w:p>
    <w:p w14:paraId="045E5E9B" w14:textId="33600027" w:rsidR="009A4849" w:rsidRDefault="009A4849" w:rsidP="00BC644F">
      <w:pPr>
        <w:jc w:val="center"/>
        <w:rPr>
          <w:rFonts w:cs="Arial"/>
          <w:b/>
          <w:color w:val="A00054"/>
          <w:sz w:val="64"/>
          <w:szCs w:val="64"/>
        </w:rPr>
      </w:pPr>
    </w:p>
    <w:p w14:paraId="04F2B994" w14:textId="610F427A" w:rsidR="009A4849" w:rsidRDefault="009A4849" w:rsidP="00BC644F">
      <w:pPr>
        <w:jc w:val="center"/>
        <w:rPr>
          <w:rFonts w:cs="Arial"/>
          <w:b/>
          <w:color w:val="A00054"/>
          <w:sz w:val="64"/>
          <w:szCs w:val="64"/>
        </w:rPr>
      </w:pPr>
      <w:r>
        <w:rPr>
          <w:rFonts w:cs="Arial"/>
          <w:b/>
          <w:color w:val="A00054"/>
          <w:sz w:val="64"/>
          <w:szCs w:val="64"/>
        </w:rPr>
        <w:t>Radiography</w:t>
      </w:r>
    </w:p>
    <w:p w14:paraId="5B48B7B4" w14:textId="77777777" w:rsidR="00BC644F" w:rsidRDefault="00BC644F" w:rsidP="00BC644F">
      <w:pPr>
        <w:jc w:val="center"/>
        <w:rPr>
          <w:noProof/>
          <w:lang w:eastAsia="en-GB"/>
        </w:rPr>
      </w:pPr>
    </w:p>
    <w:p w14:paraId="5B48B7B5" w14:textId="77777777" w:rsidR="00BC644F" w:rsidRDefault="00BC644F" w:rsidP="00BC644F">
      <w:pPr>
        <w:jc w:val="center"/>
        <w:rPr>
          <w:noProof/>
          <w:lang w:eastAsia="en-GB"/>
        </w:rPr>
      </w:pPr>
    </w:p>
    <w:p w14:paraId="5B48B7B6" w14:textId="77777777" w:rsidR="00BC644F" w:rsidRDefault="00BC644F" w:rsidP="00BC644F">
      <w:pPr>
        <w:jc w:val="center"/>
        <w:rPr>
          <w:noProof/>
          <w:lang w:eastAsia="en-GB"/>
        </w:rPr>
      </w:pPr>
      <w:r>
        <w:rPr>
          <w:noProof/>
          <w:lang w:eastAsia="en-GB"/>
        </w:rPr>
        <w:drawing>
          <wp:anchor distT="0" distB="0" distL="114300" distR="114300" simplePos="0" relativeHeight="251658240" behindDoc="0" locked="0" layoutInCell="1" allowOverlap="1" wp14:anchorId="5B48B8F3" wp14:editId="5B48B8F4">
            <wp:simplePos x="0" y="0"/>
            <wp:positionH relativeFrom="column">
              <wp:posOffset>-540385</wp:posOffset>
            </wp:positionH>
            <wp:positionV relativeFrom="paragraph">
              <wp:posOffset>28575</wp:posOffset>
            </wp:positionV>
            <wp:extent cx="7562215" cy="1377315"/>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2215" cy="1377315"/>
                    </a:xfrm>
                    <a:prstGeom prst="rect">
                      <a:avLst/>
                    </a:prstGeom>
                    <a:noFill/>
                  </pic:spPr>
                </pic:pic>
              </a:graphicData>
            </a:graphic>
            <wp14:sizeRelH relativeFrom="page">
              <wp14:pctWidth>0</wp14:pctWidth>
            </wp14:sizeRelH>
            <wp14:sizeRelV relativeFrom="page">
              <wp14:pctHeight>0</wp14:pctHeight>
            </wp14:sizeRelV>
          </wp:anchor>
        </w:drawing>
      </w:r>
    </w:p>
    <w:p w14:paraId="5B48B7B7" w14:textId="77777777" w:rsidR="00BC644F" w:rsidRDefault="00BC644F" w:rsidP="00BC644F">
      <w:pPr>
        <w:jc w:val="center"/>
        <w:rPr>
          <w:noProof/>
          <w:lang w:eastAsia="en-GB"/>
        </w:rPr>
      </w:pPr>
    </w:p>
    <w:p w14:paraId="5B48B7B8" w14:textId="0EC384F4" w:rsidR="00F304E8" w:rsidRDefault="00F304E8" w:rsidP="00F304E8">
      <w:pPr>
        <w:pStyle w:val="Heading1"/>
      </w:pPr>
      <w:bookmarkStart w:id="0" w:name="_Toc458755034"/>
      <w:r>
        <w:lastRenderedPageBreak/>
        <w:t>Local office name:</w:t>
      </w:r>
      <w:r>
        <w:tab/>
      </w:r>
      <w:r>
        <w:tab/>
      </w:r>
      <w:r>
        <w:tab/>
      </w:r>
      <w:r w:rsidR="00FF1F59">
        <w:rPr>
          <w:rStyle w:val="Heading2Char"/>
        </w:rPr>
        <w:t>HEE South West</w:t>
      </w:r>
    </w:p>
    <w:p w14:paraId="7A3FFDF7" w14:textId="72027D76" w:rsidR="002A3DE1" w:rsidRDefault="00BC644F" w:rsidP="00CB2E9C">
      <w:pPr>
        <w:pStyle w:val="Heading1"/>
        <w:spacing w:before="0" w:after="0" w:afterAutospacing="0"/>
        <w:ind w:left="720"/>
        <w:rPr>
          <w:rStyle w:val="Heading2Char"/>
        </w:rPr>
      </w:pPr>
      <w:r>
        <w:t>Organisation:</w:t>
      </w:r>
      <w:r>
        <w:tab/>
      </w:r>
      <w:r>
        <w:tab/>
      </w:r>
      <w:r>
        <w:tab/>
      </w:r>
      <w:bookmarkEnd w:id="0"/>
      <w:r w:rsidR="002A3DE1">
        <w:rPr>
          <w:rStyle w:val="Heading2Char"/>
        </w:rPr>
        <w:t>University of Plymouth</w:t>
      </w:r>
    </w:p>
    <w:p w14:paraId="53FD8598" w14:textId="77777777" w:rsidR="00CB2E9C" w:rsidRDefault="002A3DE1" w:rsidP="00CB2E9C">
      <w:pPr>
        <w:pStyle w:val="Heading1"/>
        <w:spacing w:before="0" w:after="0" w:afterAutospacing="0"/>
        <w:ind w:left="5040"/>
        <w:rPr>
          <w:rStyle w:val="Heading2Char"/>
        </w:rPr>
      </w:pPr>
      <w:r>
        <w:rPr>
          <w:rStyle w:val="Heading2Char"/>
        </w:rPr>
        <w:t>University of Exeter</w:t>
      </w:r>
    </w:p>
    <w:p w14:paraId="5B48B7B9" w14:textId="5952AE82" w:rsidR="00BC644F" w:rsidRDefault="006D6407" w:rsidP="00CB2E9C">
      <w:pPr>
        <w:pStyle w:val="Heading1"/>
        <w:spacing w:before="0" w:after="0" w:afterAutospacing="0"/>
        <w:ind w:left="5040"/>
      </w:pPr>
      <w:r>
        <w:rPr>
          <w:rStyle w:val="Heading2Char"/>
        </w:rPr>
        <w:t xml:space="preserve">University </w:t>
      </w:r>
      <w:r w:rsidR="00FF1F59">
        <w:rPr>
          <w:rStyle w:val="Heading2Char"/>
        </w:rPr>
        <w:t>Hospital</w:t>
      </w:r>
      <w:r>
        <w:rPr>
          <w:rStyle w:val="Heading2Char"/>
        </w:rPr>
        <w:t>s Plymouth</w:t>
      </w:r>
      <w:r w:rsidR="00FF1F59">
        <w:rPr>
          <w:rStyle w:val="Heading2Char"/>
        </w:rPr>
        <w:t xml:space="preserve"> NHS Trust</w:t>
      </w:r>
    </w:p>
    <w:p w14:paraId="5B48B7BA" w14:textId="1F6AE3A8" w:rsidR="00BC644F" w:rsidRDefault="00BC644F" w:rsidP="009A4849">
      <w:pPr>
        <w:pStyle w:val="Heading1"/>
        <w:ind w:left="5040" w:hanging="5040"/>
        <w:rPr>
          <w:rStyle w:val="Heading2Char"/>
        </w:rPr>
      </w:pPr>
      <w:bookmarkStart w:id="1" w:name="_Toc458755035"/>
      <w:r>
        <w:t>Placements reviewed:</w:t>
      </w:r>
      <w:r>
        <w:tab/>
      </w:r>
      <w:bookmarkEnd w:id="1"/>
      <w:r w:rsidR="009A4849">
        <w:rPr>
          <w:rStyle w:val="Heading2Char"/>
        </w:rPr>
        <w:t xml:space="preserve">Diagnostic Radiography, </w:t>
      </w:r>
      <w:r w:rsidR="00652BCD">
        <w:rPr>
          <w:rStyle w:val="Heading2Char"/>
        </w:rPr>
        <w:t>University Hospitals Plymouth NHS Trust</w:t>
      </w:r>
    </w:p>
    <w:p w14:paraId="5B48B7BB" w14:textId="100EBA56" w:rsidR="00BC644F" w:rsidRDefault="00752E85" w:rsidP="00752E85">
      <w:pPr>
        <w:pStyle w:val="Heading1"/>
        <w:rPr>
          <w:noProof/>
          <w:lang w:eastAsia="en-GB"/>
        </w:rPr>
      </w:pPr>
      <w:r>
        <w:t>Date of Review:</w:t>
      </w:r>
      <w:r>
        <w:tab/>
      </w:r>
      <w:r>
        <w:tab/>
      </w:r>
      <w:r>
        <w:tab/>
      </w:r>
      <w:r w:rsidR="009A4849">
        <w:rPr>
          <w:rStyle w:val="Heading2Char"/>
        </w:rPr>
        <w:t>28</w:t>
      </w:r>
      <w:r w:rsidR="009A4849" w:rsidRPr="009A4849">
        <w:rPr>
          <w:rStyle w:val="Heading2Char"/>
          <w:vertAlign w:val="superscript"/>
        </w:rPr>
        <w:t>th</w:t>
      </w:r>
      <w:r w:rsidR="009A4849">
        <w:rPr>
          <w:rStyle w:val="Heading2Char"/>
        </w:rPr>
        <w:t xml:space="preserve"> July</w:t>
      </w:r>
      <w:r w:rsidR="00AF360C">
        <w:rPr>
          <w:rStyle w:val="Heading2Char"/>
        </w:rPr>
        <w:t xml:space="preserve"> 2020</w:t>
      </w:r>
    </w:p>
    <w:p w14:paraId="5B48B7BC" w14:textId="77777777" w:rsidR="00BC644F" w:rsidRDefault="00BC644F" w:rsidP="00BC644F">
      <w:pPr>
        <w:jc w:val="center"/>
        <w:rPr>
          <w:noProof/>
          <w:lang w:eastAsia="en-GB"/>
        </w:rPr>
      </w:pPr>
    </w:p>
    <w:p w14:paraId="5B48B7BD" w14:textId="77777777" w:rsidR="00BC644F" w:rsidRDefault="00BC644F" w:rsidP="00BC644F">
      <w:pPr>
        <w:jc w:val="center"/>
        <w:rPr>
          <w:noProof/>
          <w:lang w:eastAsia="en-GB"/>
        </w:rPr>
      </w:pPr>
    </w:p>
    <w:p w14:paraId="5B48B7BF" w14:textId="77777777" w:rsidR="00BC644F" w:rsidRDefault="00BC644F" w:rsidP="00BC644F">
      <w:pPr>
        <w:rPr>
          <w:lang w:eastAsia="en-GB"/>
        </w:rPr>
      </w:pPr>
    </w:p>
    <w:p w14:paraId="5B48B7C0" w14:textId="77777777" w:rsidR="00BC644F" w:rsidRPr="00BC644F" w:rsidRDefault="00BC644F" w:rsidP="00BC644F">
      <w:pPr>
        <w:rPr>
          <w:lang w:eastAsia="en-GB"/>
        </w:rPr>
      </w:pPr>
    </w:p>
    <w:p w14:paraId="5B48B7C1" w14:textId="606C6DF6" w:rsidR="00BC644F" w:rsidRDefault="00BC644F" w:rsidP="00BC644F">
      <w:pPr>
        <w:pStyle w:val="Heading2"/>
        <w:jc w:val="right"/>
        <w:rPr>
          <w:b w:val="0"/>
          <w:noProof/>
          <w:lang w:eastAsia="en-GB"/>
        </w:rPr>
      </w:pPr>
      <w:r>
        <w:t>Date of r</w:t>
      </w:r>
      <w:r w:rsidRPr="00E63957">
        <w:t>eport</w:t>
      </w:r>
      <w:r w:rsidR="009A4849">
        <w:t xml:space="preserve">: </w:t>
      </w:r>
      <w:r w:rsidR="009A4849" w:rsidRPr="009A4849">
        <w:rPr>
          <w:b w:val="0"/>
          <w:bCs w:val="0"/>
        </w:rPr>
        <w:t>30</w:t>
      </w:r>
      <w:r w:rsidR="009A4849" w:rsidRPr="009A4849">
        <w:rPr>
          <w:b w:val="0"/>
          <w:bCs w:val="0"/>
          <w:vertAlign w:val="superscript"/>
        </w:rPr>
        <w:t>th</w:t>
      </w:r>
      <w:r w:rsidR="009A4849" w:rsidRPr="009A4849">
        <w:rPr>
          <w:b w:val="0"/>
          <w:bCs w:val="0"/>
        </w:rPr>
        <w:t xml:space="preserve"> July</w:t>
      </w:r>
      <w:r w:rsidR="00EB67F2">
        <w:rPr>
          <w:b w:val="0"/>
          <w:noProof/>
          <w:lang w:eastAsia="en-GB"/>
        </w:rPr>
        <w:t xml:space="preserve"> 2020</w:t>
      </w:r>
    </w:p>
    <w:p w14:paraId="5B48B7C2" w14:textId="02661E88" w:rsidR="00BC644F" w:rsidRDefault="00BC644F" w:rsidP="00BC644F">
      <w:pPr>
        <w:pStyle w:val="Heading2"/>
        <w:jc w:val="right"/>
        <w:rPr>
          <w:b w:val="0"/>
          <w:lang w:eastAsia="en-GB"/>
        </w:rPr>
      </w:pPr>
      <w:r>
        <w:rPr>
          <w:lang w:eastAsia="en-GB"/>
        </w:rPr>
        <w:t xml:space="preserve">Author: </w:t>
      </w:r>
      <w:r w:rsidR="009A4849">
        <w:rPr>
          <w:b w:val="0"/>
          <w:lang w:eastAsia="en-GB"/>
        </w:rPr>
        <w:t>Jane Bunce / Martin Davis</w:t>
      </w:r>
    </w:p>
    <w:p w14:paraId="5B48B7C3" w14:textId="3DC3787F" w:rsidR="00BC644F" w:rsidRPr="00BC644F" w:rsidRDefault="00BC644F" w:rsidP="00BC644F">
      <w:pPr>
        <w:pStyle w:val="Heading2"/>
        <w:jc w:val="right"/>
        <w:rPr>
          <w:b w:val="0"/>
          <w:lang w:eastAsia="en-GB"/>
        </w:rPr>
      </w:pPr>
      <w:r>
        <w:rPr>
          <w:lang w:eastAsia="en-GB"/>
        </w:rPr>
        <w:t xml:space="preserve">Job title: </w:t>
      </w:r>
      <w:r w:rsidR="00EB67F2">
        <w:rPr>
          <w:b w:val="0"/>
          <w:lang w:eastAsia="en-GB"/>
        </w:rPr>
        <w:t xml:space="preserve">Quality </w:t>
      </w:r>
      <w:r w:rsidR="009A4849">
        <w:rPr>
          <w:b w:val="0"/>
          <w:lang w:eastAsia="en-GB"/>
        </w:rPr>
        <w:t>Lead</w:t>
      </w:r>
      <w:r w:rsidR="00EB67F2">
        <w:rPr>
          <w:b w:val="0"/>
          <w:lang w:eastAsia="en-GB"/>
        </w:rPr>
        <w:t xml:space="preserve"> / </w:t>
      </w:r>
      <w:r w:rsidR="009A4849">
        <w:rPr>
          <w:b w:val="0"/>
          <w:lang w:eastAsia="en-GB"/>
        </w:rPr>
        <w:t>Associate Dean for Quality</w:t>
      </w:r>
    </w:p>
    <w:p w14:paraId="5B48B7C4" w14:textId="77777777" w:rsidR="00BC644F" w:rsidRDefault="00BC644F" w:rsidP="00BC644F">
      <w:pPr>
        <w:jc w:val="both"/>
        <w:sectPr w:rsidR="00BC644F" w:rsidSect="00B55B1C">
          <w:headerReference w:type="even" r:id="rId18"/>
          <w:headerReference w:type="default" r:id="rId19"/>
          <w:footerReference w:type="even" r:id="rId20"/>
          <w:footerReference w:type="default" r:id="rId21"/>
          <w:headerReference w:type="first" r:id="rId22"/>
          <w:footerReference w:type="first" r:id="rId23"/>
          <w:type w:val="continuous"/>
          <w:pgSz w:w="11900" w:h="16840"/>
          <w:pgMar w:top="1134" w:right="851" w:bottom="1134" w:left="851" w:header="567" w:footer="567" w:gutter="0"/>
          <w:cols w:space="708"/>
          <w:titlePg/>
          <w:docGrid w:linePitch="360"/>
        </w:sectPr>
      </w:pPr>
    </w:p>
    <w:p w14:paraId="5B48B7C5" w14:textId="77777777" w:rsidR="00BC644F" w:rsidRDefault="00F304E8" w:rsidP="00F304E8">
      <w:pPr>
        <w:pStyle w:val="Heading1"/>
        <w:spacing w:before="120"/>
        <w:jc w:val="center"/>
      </w:pPr>
      <w:r>
        <w:t>Review c</w:t>
      </w:r>
      <w:r w:rsidR="00BC644F">
        <w:t>ontext</w:t>
      </w:r>
    </w:p>
    <w:p w14:paraId="5B48B7C6" w14:textId="77777777" w:rsidR="00BC644F" w:rsidRDefault="00BC644F" w:rsidP="00BC644F">
      <w:pPr>
        <w:pStyle w:val="Heading2"/>
      </w:pPr>
      <w:bookmarkStart w:id="2" w:name="_Toc458755039"/>
      <w:r>
        <w:t xml:space="preserve">Background </w:t>
      </w:r>
      <w:bookmarkEnd w:id="2"/>
    </w:p>
    <w:tbl>
      <w:tblPr>
        <w:tblW w:w="4764" w:type="pct"/>
        <w:tblInd w:w="108"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3875"/>
        <w:gridCol w:w="5813"/>
      </w:tblGrid>
      <w:tr w:rsidR="00BC644F" w:rsidRPr="00EB7AC2" w14:paraId="5B48B7C9" w14:textId="77777777" w:rsidTr="00F304E8">
        <w:trPr>
          <w:cantSplit/>
          <w:trHeight w:val="397"/>
        </w:trPr>
        <w:tc>
          <w:tcPr>
            <w:tcW w:w="2000" w:type="pct"/>
            <w:tcBorders>
              <w:top w:val="single" w:sz="12" w:space="0" w:color="0070C0"/>
            </w:tcBorders>
            <w:shd w:val="clear" w:color="auto" w:fill="0070C0"/>
            <w:vAlign w:val="center"/>
          </w:tcPr>
          <w:p w14:paraId="5B48B7C7" w14:textId="77777777" w:rsidR="00BC644F" w:rsidRPr="00967AB2" w:rsidRDefault="00BC644F" w:rsidP="00F304E8">
            <w:pPr>
              <w:jc w:val="right"/>
              <w:rPr>
                <w:b/>
                <w:color w:val="FFFFFF" w:themeColor="background1"/>
                <w:sz w:val="20"/>
                <w:szCs w:val="20"/>
              </w:rPr>
            </w:pPr>
            <w:r w:rsidRPr="00967AB2">
              <w:rPr>
                <w:b/>
                <w:color w:val="FFFFFF" w:themeColor="background1"/>
                <w:sz w:val="20"/>
                <w:szCs w:val="20"/>
              </w:rPr>
              <w:t xml:space="preserve">Reason for </w:t>
            </w:r>
            <w:r w:rsidR="00F304E8">
              <w:rPr>
                <w:b/>
                <w:color w:val="FFFFFF" w:themeColor="background1"/>
                <w:sz w:val="20"/>
                <w:szCs w:val="20"/>
              </w:rPr>
              <w:t>review</w:t>
            </w:r>
            <w:r w:rsidRPr="00967AB2">
              <w:rPr>
                <w:b/>
                <w:color w:val="FFFFFF" w:themeColor="background1"/>
                <w:sz w:val="20"/>
                <w:szCs w:val="20"/>
              </w:rPr>
              <w:t>:</w:t>
            </w:r>
          </w:p>
        </w:tc>
        <w:tc>
          <w:tcPr>
            <w:tcW w:w="3000" w:type="pct"/>
            <w:tcBorders>
              <w:top w:val="single" w:sz="12" w:space="0" w:color="0070C0"/>
              <w:bottom w:val="single" w:sz="6" w:space="0" w:color="0070C0"/>
            </w:tcBorders>
            <w:vAlign w:val="center"/>
          </w:tcPr>
          <w:p w14:paraId="46450886" w14:textId="5901347D" w:rsidR="00C57525" w:rsidRPr="00BB30F6" w:rsidRDefault="00D146BF" w:rsidP="00C57525">
            <w:pPr>
              <w:rPr>
                <w:sz w:val="22"/>
                <w:szCs w:val="22"/>
              </w:rPr>
            </w:pPr>
            <w:r w:rsidRPr="00BB30F6">
              <w:rPr>
                <w:sz w:val="22"/>
                <w:szCs w:val="22"/>
              </w:rPr>
              <w:t xml:space="preserve">The Radiography department at University Hospitals Plymouth NHS Trust (UHP) </w:t>
            </w:r>
            <w:r w:rsidR="00A109B3" w:rsidRPr="00BB30F6">
              <w:rPr>
                <w:sz w:val="22"/>
                <w:szCs w:val="22"/>
              </w:rPr>
              <w:t>is currently under pressure due to staffing</w:t>
            </w:r>
            <w:r w:rsidR="00F25A14" w:rsidRPr="00BB30F6">
              <w:rPr>
                <w:sz w:val="22"/>
                <w:szCs w:val="22"/>
              </w:rPr>
              <w:t xml:space="preserve"> </w:t>
            </w:r>
            <w:r w:rsidR="00653CD3">
              <w:rPr>
                <w:sz w:val="22"/>
                <w:szCs w:val="22"/>
              </w:rPr>
              <w:t>shortages. This is affecting service delivery and educational capacity</w:t>
            </w:r>
            <w:r w:rsidR="00F25A14" w:rsidRPr="00BB30F6">
              <w:rPr>
                <w:sz w:val="22"/>
                <w:szCs w:val="22"/>
              </w:rPr>
              <w:t xml:space="preserve"> for Diagnostic Radiography students.</w:t>
            </w:r>
            <w:r w:rsidR="00653CD3">
              <w:rPr>
                <w:sz w:val="22"/>
                <w:szCs w:val="22"/>
              </w:rPr>
              <w:t xml:space="preserve"> Two HEI radiography </w:t>
            </w:r>
            <w:r w:rsidR="00E86152">
              <w:rPr>
                <w:sz w:val="22"/>
                <w:szCs w:val="22"/>
              </w:rPr>
              <w:t>providers</w:t>
            </w:r>
            <w:r w:rsidR="00653CD3">
              <w:rPr>
                <w:sz w:val="22"/>
                <w:szCs w:val="22"/>
              </w:rPr>
              <w:t xml:space="preserve"> use UHP for clinical placement experience (University</w:t>
            </w:r>
            <w:r w:rsidR="009D5141">
              <w:rPr>
                <w:sz w:val="22"/>
                <w:szCs w:val="22"/>
              </w:rPr>
              <w:t xml:space="preserve"> of Exeter</w:t>
            </w:r>
            <w:r w:rsidR="00653CD3">
              <w:rPr>
                <w:sz w:val="22"/>
                <w:szCs w:val="22"/>
              </w:rPr>
              <w:t xml:space="preserve"> and </w:t>
            </w:r>
            <w:r w:rsidR="009D5141">
              <w:rPr>
                <w:sz w:val="22"/>
                <w:szCs w:val="22"/>
              </w:rPr>
              <w:t xml:space="preserve">University of </w:t>
            </w:r>
            <w:r w:rsidR="00653CD3">
              <w:rPr>
                <w:sz w:val="22"/>
                <w:szCs w:val="22"/>
              </w:rPr>
              <w:t>Plymouth)</w:t>
            </w:r>
            <w:r w:rsidR="009D5141">
              <w:rPr>
                <w:sz w:val="22"/>
                <w:szCs w:val="22"/>
              </w:rPr>
              <w:t>.</w:t>
            </w:r>
          </w:p>
          <w:p w14:paraId="2AD858B8" w14:textId="48D042F7" w:rsidR="00F25A14" w:rsidRPr="00BB30F6" w:rsidRDefault="00F25A14" w:rsidP="00C57525">
            <w:pPr>
              <w:rPr>
                <w:sz w:val="22"/>
                <w:szCs w:val="22"/>
              </w:rPr>
            </w:pPr>
          </w:p>
          <w:p w14:paraId="512CF8CB" w14:textId="7605DCFF" w:rsidR="00FB6941" w:rsidRPr="00CD7298" w:rsidRDefault="00B17EDB" w:rsidP="00C57525">
            <w:pPr>
              <w:rPr>
                <w:color w:val="FF0000"/>
                <w:sz w:val="22"/>
                <w:szCs w:val="22"/>
              </w:rPr>
            </w:pPr>
            <w:r w:rsidRPr="00BB30F6">
              <w:rPr>
                <w:sz w:val="22"/>
                <w:szCs w:val="22"/>
              </w:rPr>
              <w:t xml:space="preserve">Communication channels are not </w:t>
            </w:r>
            <w:r w:rsidR="003A70BA">
              <w:rPr>
                <w:sz w:val="22"/>
                <w:szCs w:val="22"/>
              </w:rPr>
              <w:t xml:space="preserve">as </w:t>
            </w:r>
            <w:r w:rsidRPr="00BB30F6">
              <w:rPr>
                <w:sz w:val="22"/>
                <w:szCs w:val="22"/>
              </w:rPr>
              <w:t xml:space="preserve">clear and robust as they </w:t>
            </w:r>
            <w:r w:rsidR="00653CD3">
              <w:rPr>
                <w:sz w:val="22"/>
                <w:szCs w:val="22"/>
              </w:rPr>
              <w:t>should</w:t>
            </w:r>
            <w:r w:rsidRPr="00BB30F6">
              <w:rPr>
                <w:sz w:val="22"/>
                <w:szCs w:val="22"/>
              </w:rPr>
              <w:t xml:space="preserve"> be between the </w:t>
            </w:r>
            <w:r w:rsidR="00FB6941" w:rsidRPr="00BB30F6">
              <w:rPr>
                <w:sz w:val="22"/>
                <w:szCs w:val="22"/>
              </w:rPr>
              <w:t>3</w:t>
            </w:r>
            <w:r w:rsidR="000150D8" w:rsidRPr="00BB30F6">
              <w:rPr>
                <w:sz w:val="22"/>
                <w:szCs w:val="22"/>
              </w:rPr>
              <w:t xml:space="preserve"> </w:t>
            </w:r>
            <w:r w:rsidRPr="00BB30F6">
              <w:rPr>
                <w:sz w:val="22"/>
                <w:szCs w:val="22"/>
              </w:rPr>
              <w:t>organisations</w:t>
            </w:r>
            <w:r w:rsidR="000150D8" w:rsidRPr="00BB30F6">
              <w:rPr>
                <w:sz w:val="22"/>
                <w:szCs w:val="22"/>
              </w:rPr>
              <w:t xml:space="preserve"> </w:t>
            </w:r>
            <w:r w:rsidR="00FB6941" w:rsidRPr="00BB30F6">
              <w:rPr>
                <w:sz w:val="22"/>
                <w:szCs w:val="22"/>
              </w:rPr>
              <w:t xml:space="preserve">involved with </w:t>
            </w:r>
            <w:r w:rsidR="000150D8" w:rsidRPr="00BB30F6">
              <w:rPr>
                <w:sz w:val="22"/>
                <w:szCs w:val="22"/>
              </w:rPr>
              <w:t>placing</w:t>
            </w:r>
            <w:r w:rsidR="00FB6941" w:rsidRPr="00BB30F6">
              <w:rPr>
                <w:sz w:val="22"/>
                <w:szCs w:val="22"/>
              </w:rPr>
              <w:t>/hosting</w:t>
            </w:r>
            <w:r w:rsidR="000150D8" w:rsidRPr="00BB30F6">
              <w:rPr>
                <w:sz w:val="22"/>
                <w:szCs w:val="22"/>
              </w:rPr>
              <w:t xml:space="preserve"> students i</w:t>
            </w:r>
            <w:r w:rsidR="00FB6941" w:rsidRPr="00BB30F6">
              <w:rPr>
                <w:sz w:val="22"/>
                <w:szCs w:val="22"/>
              </w:rPr>
              <w:t>n practice.</w:t>
            </w:r>
            <w:r w:rsidR="009D5141">
              <w:rPr>
                <w:sz w:val="22"/>
                <w:szCs w:val="22"/>
              </w:rPr>
              <w:t xml:space="preserve">  </w:t>
            </w:r>
          </w:p>
          <w:p w14:paraId="5F0423B4" w14:textId="77777777" w:rsidR="00FB6941" w:rsidRPr="00BB30F6" w:rsidRDefault="00FB6941" w:rsidP="00C57525">
            <w:pPr>
              <w:rPr>
                <w:sz w:val="22"/>
                <w:szCs w:val="22"/>
              </w:rPr>
            </w:pPr>
          </w:p>
          <w:p w14:paraId="78A5D971" w14:textId="1B0C62BB" w:rsidR="00F25A14" w:rsidRPr="00BB30F6" w:rsidRDefault="00211887" w:rsidP="00C57525">
            <w:pPr>
              <w:rPr>
                <w:sz w:val="22"/>
                <w:szCs w:val="22"/>
              </w:rPr>
            </w:pPr>
            <w:r w:rsidRPr="00BB30F6">
              <w:rPr>
                <w:sz w:val="22"/>
                <w:szCs w:val="22"/>
              </w:rPr>
              <w:t xml:space="preserve">The two Universities placing students </w:t>
            </w:r>
            <w:r w:rsidR="00F20ED6">
              <w:rPr>
                <w:sz w:val="22"/>
                <w:szCs w:val="22"/>
              </w:rPr>
              <w:t>with UHP</w:t>
            </w:r>
            <w:r w:rsidRPr="00BB30F6">
              <w:rPr>
                <w:sz w:val="22"/>
                <w:szCs w:val="22"/>
              </w:rPr>
              <w:t xml:space="preserve"> have different philosoph</w:t>
            </w:r>
            <w:r w:rsidR="00F2048C" w:rsidRPr="00BB30F6">
              <w:rPr>
                <w:sz w:val="22"/>
                <w:szCs w:val="22"/>
              </w:rPr>
              <w:t xml:space="preserve">ies for their course </w:t>
            </w:r>
            <w:r w:rsidR="00653CD3">
              <w:rPr>
                <w:sz w:val="22"/>
                <w:szCs w:val="22"/>
              </w:rPr>
              <w:t>delivery. This has implications for expectations of placement experience</w:t>
            </w:r>
            <w:r w:rsidR="00F2048C" w:rsidRPr="00BB30F6">
              <w:rPr>
                <w:sz w:val="22"/>
                <w:szCs w:val="22"/>
              </w:rPr>
              <w:t xml:space="preserve"> </w:t>
            </w:r>
            <w:r w:rsidR="00D84998" w:rsidRPr="00BB30F6">
              <w:rPr>
                <w:sz w:val="22"/>
                <w:szCs w:val="22"/>
              </w:rPr>
              <w:t xml:space="preserve">This creates a layer of </w:t>
            </w:r>
            <w:r w:rsidR="0029423A" w:rsidRPr="00BB30F6">
              <w:rPr>
                <w:sz w:val="22"/>
                <w:szCs w:val="22"/>
              </w:rPr>
              <w:t xml:space="preserve">complexity for </w:t>
            </w:r>
            <w:r w:rsidR="00653CD3">
              <w:rPr>
                <w:sz w:val="22"/>
                <w:szCs w:val="22"/>
              </w:rPr>
              <w:t xml:space="preserve">the provider UHP in respect of practicalities such as </w:t>
            </w:r>
            <w:r w:rsidR="0029423A" w:rsidRPr="00BB30F6">
              <w:rPr>
                <w:sz w:val="22"/>
                <w:szCs w:val="22"/>
              </w:rPr>
              <w:t>capacity</w:t>
            </w:r>
            <w:r w:rsidR="00653CD3">
              <w:rPr>
                <w:sz w:val="22"/>
                <w:szCs w:val="22"/>
              </w:rPr>
              <w:t>,</w:t>
            </w:r>
            <w:r w:rsidR="0029423A" w:rsidRPr="00BB30F6">
              <w:rPr>
                <w:sz w:val="22"/>
                <w:szCs w:val="22"/>
              </w:rPr>
              <w:t xml:space="preserve"> rotas</w:t>
            </w:r>
            <w:r w:rsidR="00BB0C16">
              <w:rPr>
                <w:sz w:val="22"/>
                <w:szCs w:val="22"/>
              </w:rPr>
              <w:t>,</w:t>
            </w:r>
            <w:r w:rsidR="00653CD3">
              <w:rPr>
                <w:sz w:val="22"/>
                <w:szCs w:val="22"/>
              </w:rPr>
              <w:t xml:space="preserve"> </w:t>
            </w:r>
            <w:r w:rsidR="00BB0C16">
              <w:rPr>
                <w:sz w:val="22"/>
                <w:szCs w:val="22"/>
              </w:rPr>
              <w:t>and t</w:t>
            </w:r>
            <w:r w:rsidR="00653CD3">
              <w:rPr>
                <w:sz w:val="22"/>
                <w:szCs w:val="22"/>
              </w:rPr>
              <w:t xml:space="preserve">he pastoral aspects of the </w:t>
            </w:r>
            <w:proofErr w:type="gramStart"/>
            <w:r w:rsidR="00653CD3">
              <w:rPr>
                <w:sz w:val="22"/>
                <w:szCs w:val="22"/>
              </w:rPr>
              <w:t>learners</w:t>
            </w:r>
            <w:proofErr w:type="gramEnd"/>
            <w:r w:rsidR="00653CD3">
              <w:rPr>
                <w:sz w:val="22"/>
                <w:szCs w:val="22"/>
              </w:rPr>
              <w:t xml:space="preserve"> experience.</w:t>
            </w:r>
          </w:p>
          <w:p w14:paraId="5B48B7C8" w14:textId="77777777" w:rsidR="00BC644F" w:rsidRPr="00BB30F6" w:rsidRDefault="00BC644F" w:rsidP="00853F0B">
            <w:pPr>
              <w:rPr>
                <w:sz w:val="22"/>
                <w:szCs w:val="22"/>
              </w:rPr>
            </w:pPr>
          </w:p>
        </w:tc>
      </w:tr>
    </w:tbl>
    <w:p w14:paraId="5B48B7D9" w14:textId="77777777" w:rsidR="00BC644F" w:rsidRDefault="00BC644F" w:rsidP="00BC644F"/>
    <w:p w14:paraId="5B48B7DA" w14:textId="77777777" w:rsidR="00BC644F" w:rsidRDefault="00BC644F" w:rsidP="00BC644F"/>
    <w:p w14:paraId="5B48B7DB" w14:textId="77777777" w:rsidR="00BC644F" w:rsidRPr="000809FD" w:rsidRDefault="00BC644F" w:rsidP="00BC644F"/>
    <w:p w14:paraId="5B48B7DC" w14:textId="414CD795" w:rsidR="00BC644F" w:rsidRPr="00F304E8" w:rsidRDefault="0029423A" w:rsidP="00F304E8">
      <w:pPr>
        <w:pStyle w:val="Heading2"/>
      </w:pPr>
      <w:r>
        <w:lastRenderedPageBreak/>
        <w:t>Meeting attendees</w:t>
      </w:r>
    </w:p>
    <w:tbl>
      <w:tblPr>
        <w:tblW w:w="4764" w:type="pct"/>
        <w:tblInd w:w="108" w:type="dxa"/>
        <w:tblBorders>
          <w:top w:val="single" w:sz="12" w:space="0" w:color="0070C0"/>
          <w:left w:val="single" w:sz="12" w:space="0" w:color="0070C0"/>
          <w:bottom w:val="single" w:sz="12" w:space="0" w:color="0070C0"/>
          <w:right w:val="single" w:sz="12" w:space="0" w:color="0070C0"/>
        </w:tblBorders>
        <w:tblLook w:val="01E0" w:firstRow="1" w:lastRow="1" w:firstColumn="1" w:lastColumn="1" w:noHBand="0" w:noVBand="0"/>
      </w:tblPr>
      <w:tblGrid>
        <w:gridCol w:w="3445"/>
        <w:gridCol w:w="6243"/>
      </w:tblGrid>
      <w:tr w:rsidR="00BC644F" w:rsidRPr="00967AB2" w14:paraId="5B48B7DF" w14:textId="77777777" w:rsidTr="00853F0B">
        <w:trPr>
          <w:trHeight w:val="340"/>
        </w:trPr>
        <w:tc>
          <w:tcPr>
            <w:tcW w:w="1778" w:type="pct"/>
            <w:tcBorders>
              <w:bottom w:val="nil"/>
            </w:tcBorders>
            <w:shd w:val="clear" w:color="auto" w:fill="0070C0"/>
            <w:vAlign w:val="center"/>
          </w:tcPr>
          <w:p w14:paraId="5B48B7DD" w14:textId="77777777" w:rsidR="00BC644F" w:rsidRPr="006647D5" w:rsidRDefault="00BC644F" w:rsidP="00853F0B">
            <w:pPr>
              <w:pStyle w:val="BodyTextIndent"/>
              <w:spacing w:after="40"/>
              <w:ind w:left="0"/>
              <w:rPr>
                <w:rFonts w:ascii="Arial" w:hAnsi="Arial" w:cs="Arial"/>
                <w:b/>
                <w:color w:val="FFFFFF" w:themeColor="background1"/>
                <w:sz w:val="20"/>
                <w:szCs w:val="20"/>
              </w:rPr>
            </w:pPr>
            <w:r w:rsidRPr="006647D5">
              <w:rPr>
                <w:rFonts w:ascii="Arial" w:hAnsi="Arial" w:cs="Arial"/>
                <w:b/>
                <w:color w:val="FFFFFF" w:themeColor="background1"/>
                <w:sz w:val="20"/>
                <w:szCs w:val="20"/>
              </w:rPr>
              <w:t>Name</w:t>
            </w:r>
          </w:p>
        </w:tc>
        <w:tc>
          <w:tcPr>
            <w:tcW w:w="3222" w:type="pct"/>
            <w:tcBorders>
              <w:bottom w:val="nil"/>
            </w:tcBorders>
            <w:shd w:val="clear" w:color="auto" w:fill="0070C0"/>
            <w:vAlign w:val="center"/>
          </w:tcPr>
          <w:p w14:paraId="5B48B7DE" w14:textId="77777777" w:rsidR="00BC644F" w:rsidRPr="006647D5" w:rsidRDefault="00BC644F" w:rsidP="00853F0B">
            <w:pPr>
              <w:pStyle w:val="BodyTextIndent"/>
              <w:spacing w:after="40"/>
              <w:ind w:left="0"/>
              <w:rPr>
                <w:rFonts w:ascii="Arial" w:hAnsi="Arial" w:cs="Arial"/>
                <w:b/>
                <w:color w:val="FFFFFF" w:themeColor="background1"/>
                <w:sz w:val="20"/>
                <w:szCs w:val="20"/>
              </w:rPr>
            </w:pPr>
            <w:r w:rsidRPr="006647D5">
              <w:rPr>
                <w:rFonts w:ascii="Arial" w:hAnsi="Arial" w:cs="Arial"/>
                <w:b/>
                <w:color w:val="FFFFFF" w:themeColor="background1"/>
                <w:sz w:val="20"/>
                <w:szCs w:val="20"/>
              </w:rPr>
              <w:t>Job title</w:t>
            </w:r>
          </w:p>
        </w:tc>
      </w:tr>
      <w:tr w:rsidR="00BC644F" w:rsidRPr="007E2EC6" w14:paraId="5B48B7E2" w14:textId="77777777" w:rsidTr="00853F0B">
        <w:trPr>
          <w:trHeight w:val="340"/>
        </w:trPr>
        <w:tc>
          <w:tcPr>
            <w:tcW w:w="1778" w:type="pct"/>
            <w:tcBorders>
              <w:top w:val="nil"/>
              <w:bottom w:val="single" w:sz="4" w:space="0" w:color="0070C0"/>
              <w:right w:val="single" w:sz="4" w:space="0" w:color="0070C0"/>
            </w:tcBorders>
          </w:tcPr>
          <w:p w14:paraId="5B48B7E0" w14:textId="220BCD03" w:rsidR="00BC644F" w:rsidRPr="00BB30F6" w:rsidRDefault="00625F98" w:rsidP="004D73B2">
            <w:pPr>
              <w:spacing w:before="60" w:after="60"/>
              <w:rPr>
                <w:bCs/>
                <w:sz w:val="22"/>
                <w:szCs w:val="22"/>
              </w:rPr>
            </w:pPr>
            <w:r w:rsidRPr="00BB30F6">
              <w:rPr>
                <w:bCs/>
                <w:sz w:val="22"/>
                <w:szCs w:val="22"/>
              </w:rPr>
              <w:t>Martin Davis</w:t>
            </w:r>
          </w:p>
        </w:tc>
        <w:tc>
          <w:tcPr>
            <w:tcW w:w="3222" w:type="pct"/>
            <w:tcBorders>
              <w:top w:val="nil"/>
              <w:left w:val="single" w:sz="4" w:space="0" w:color="0070C0"/>
              <w:bottom w:val="single" w:sz="4" w:space="0" w:color="0070C0"/>
            </w:tcBorders>
          </w:tcPr>
          <w:p w14:paraId="5B48B7E1" w14:textId="75412EAA" w:rsidR="00BC644F" w:rsidRPr="00BB30F6" w:rsidRDefault="00042671" w:rsidP="00853F0B">
            <w:pPr>
              <w:spacing w:before="60" w:after="60"/>
              <w:rPr>
                <w:sz w:val="22"/>
                <w:szCs w:val="22"/>
              </w:rPr>
            </w:pPr>
            <w:r w:rsidRPr="00BB30F6">
              <w:rPr>
                <w:sz w:val="22"/>
                <w:szCs w:val="22"/>
              </w:rPr>
              <w:t>Health Education England (HEE)</w:t>
            </w:r>
          </w:p>
        </w:tc>
      </w:tr>
      <w:tr w:rsidR="00BC644F" w:rsidRPr="007E2EC6" w14:paraId="5B48B7E5" w14:textId="77777777" w:rsidTr="00853F0B">
        <w:trPr>
          <w:trHeight w:val="340"/>
        </w:trPr>
        <w:tc>
          <w:tcPr>
            <w:tcW w:w="1778" w:type="pct"/>
            <w:tcBorders>
              <w:top w:val="single" w:sz="4" w:space="0" w:color="0070C0"/>
              <w:bottom w:val="single" w:sz="4" w:space="0" w:color="0070C0"/>
              <w:right w:val="single" w:sz="4" w:space="0" w:color="0070C0"/>
            </w:tcBorders>
          </w:tcPr>
          <w:p w14:paraId="5B48B7E3" w14:textId="3FFDDBAE" w:rsidR="00BC644F" w:rsidRPr="00BB30F6" w:rsidRDefault="0028438D" w:rsidP="00853F0B">
            <w:pPr>
              <w:spacing w:before="60" w:after="60"/>
              <w:rPr>
                <w:bCs/>
                <w:sz w:val="22"/>
                <w:szCs w:val="22"/>
              </w:rPr>
            </w:pPr>
            <w:r w:rsidRPr="00BB30F6">
              <w:rPr>
                <w:bCs/>
                <w:sz w:val="22"/>
                <w:szCs w:val="22"/>
              </w:rPr>
              <w:t>Jane Bunce</w:t>
            </w:r>
          </w:p>
        </w:tc>
        <w:tc>
          <w:tcPr>
            <w:tcW w:w="3222" w:type="pct"/>
            <w:tcBorders>
              <w:top w:val="single" w:sz="4" w:space="0" w:color="0070C0"/>
              <w:left w:val="single" w:sz="4" w:space="0" w:color="0070C0"/>
              <w:bottom w:val="single" w:sz="4" w:space="0" w:color="0070C0"/>
            </w:tcBorders>
          </w:tcPr>
          <w:p w14:paraId="5B48B7E4" w14:textId="27C20516" w:rsidR="00BC644F" w:rsidRPr="00BB30F6" w:rsidRDefault="0028438D" w:rsidP="00853F0B">
            <w:pPr>
              <w:spacing w:before="60" w:after="60"/>
              <w:rPr>
                <w:sz w:val="22"/>
                <w:szCs w:val="22"/>
              </w:rPr>
            </w:pPr>
            <w:r w:rsidRPr="00BB30F6">
              <w:rPr>
                <w:sz w:val="22"/>
                <w:szCs w:val="22"/>
              </w:rPr>
              <w:t>HEE</w:t>
            </w:r>
          </w:p>
        </w:tc>
      </w:tr>
      <w:tr w:rsidR="00BC644F" w:rsidRPr="007E2EC6" w14:paraId="5B48B7E8" w14:textId="77777777" w:rsidTr="00853F0B">
        <w:trPr>
          <w:trHeight w:val="340"/>
        </w:trPr>
        <w:tc>
          <w:tcPr>
            <w:tcW w:w="1778" w:type="pct"/>
            <w:tcBorders>
              <w:top w:val="single" w:sz="4" w:space="0" w:color="0070C0"/>
              <w:bottom w:val="single" w:sz="4" w:space="0" w:color="0070C0"/>
              <w:right w:val="single" w:sz="4" w:space="0" w:color="0070C0"/>
            </w:tcBorders>
          </w:tcPr>
          <w:p w14:paraId="5B48B7E6" w14:textId="57380C52" w:rsidR="00BC644F" w:rsidRPr="00BB30F6" w:rsidRDefault="0028438D" w:rsidP="00853F0B">
            <w:pPr>
              <w:spacing w:before="60" w:after="60"/>
              <w:rPr>
                <w:bCs/>
                <w:sz w:val="22"/>
                <w:szCs w:val="22"/>
              </w:rPr>
            </w:pPr>
            <w:r w:rsidRPr="00BB30F6">
              <w:rPr>
                <w:bCs/>
                <w:sz w:val="22"/>
                <w:szCs w:val="22"/>
              </w:rPr>
              <w:t>Carrie Biddle</w:t>
            </w:r>
          </w:p>
        </w:tc>
        <w:tc>
          <w:tcPr>
            <w:tcW w:w="3222" w:type="pct"/>
            <w:tcBorders>
              <w:top w:val="single" w:sz="4" w:space="0" w:color="0070C0"/>
              <w:left w:val="single" w:sz="4" w:space="0" w:color="0070C0"/>
              <w:bottom w:val="single" w:sz="4" w:space="0" w:color="0070C0"/>
            </w:tcBorders>
          </w:tcPr>
          <w:p w14:paraId="5B48B7E7" w14:textId="6ACAAE65" w:rsidR="00BC644F" w:rsidRPr="00BB30F6" w:rsidRDefault="0028438D" w:rsidP="00853F0B">
            <w:pPr>
              <w:spacing w:before="60" w:after="60"/>
              <w:rPr>
                <w:sz w:val="22"/>
                <w:szCs w:val="22"/>
              </w:rPr>
            </w:pPr>
            <w:r w:rsidRPr="00BB30F6">
              <w:rPr>
                <w:sz w:val="22"/>
                <w:szCs w:val="22"/>
              </w:rPr>
              <w:t>HEE</w:t>
            </w:r>
          </w:p>
        </w:tc>
      </w:tr>
      <w:tr w:rsidR="00BC644F" w:rsidRPr="007E2EC6" w14:paraId="5B48B7EB" w14:textId="77777777" w:rsidTr="00853F0B">
        <w:trPr>
          <w:trHeight w:val="340"/>
        </w:trPr>
        <w:tc>
          <w:tcPr>
            <w:tcW w:w="1778" w:type="pct"/>
            <w:tcBorders>
              <w:top w:val="single" w:sz="4" w:space="0" w:color="0070C0"/>
              <w:bottom w:val="single" w:sz="4" w:space="0" w:color="0070C0"/>
              <w:right w:val="single" w:sz="4" w:space="0" w:color="0070C0"/>
            </w:tcBorders>
          </w:tcPr>
          <w:p w14:paraId="5B48B7E9" w14:textId="07481CCD" w:rsidR="00BC644F" w:rsidRPr="00BB30F6" w:rsidRDefault="0028438D" w:rsidP="00853F0B">
            <w:pPr>
              <w:spacing w:before="60" w:after="60"/>
              <w:rPr>
                <w:bCs/>
                <w:sz w:val="22"/>
                <w:szCs w:val="22"/>
              </w:rPr>
            </w:pPr>
            <w:r w:rsidRPr="00BB30F6">
              <w:rPr>
                <w:bCs/>
                <w:sz w:val="22"/>
                <w:szCs w:val="22"/>
              </w:rPr>
              <w:t>Mark Wilson</w:t>
            </w:r>
          </w:p>
        </w:tc>
        <w:tc>
          <w:tcPr>
            <w:tcW w:w="3222" w:type="pct"/>
            <w:tcBorders>
              <w:top w:val="single" w:sz="4" w:space="0" w:color="0070C0"/>
              <w:left w:val="single" w:sz="4" w:space="0" w:color="0070C0"/>
              <w:bottom w:val="single" w:sz="4" w:space="0" w:color="0070C0"/>
            </w:tcBorders>
          </w:tcPr>
          <w:p w14:paraId="5B48B7EA" w14:textId="65E74B20" w:rsidR="00BC644F" w:rsidRPr="00BB30F6" w:rsidRDefault="0028438D" w:rsidP="00853F0B">
            <w:pPr>
              <w:spacing w:before="60" w:after="60"/>
              <w:rPr>
                <w:sz w:val="22"/>
                <w:szCs w:val="22"/>
              </w:rPr>
            </w:pPr>
            <w:r w:rsidRPr="00BB30F6">
              <w:rPr>
                <w:sz w:val="22"/>
                <w:szCs w:val="22"/>
              </w:rPr>
              <w:t>HEE</w:t>
            </w:r>
          </w:p>
        </w:tc>
      </w:tr>
      <w:tr w:rsidR="00BC644F" w:rsidRPr="007E2EC6" w14:paraId="5B48B7EE" w14:textId="77777777" w:rsidTr="00853F0B">
        <w:trPr>
          <w:trHeight w:val="340"/>
        </w:trPr>
        <w:tc>
          <w:tcPr>
            <w:tcW w:w="1778" w:type="pct"/>
            <w:tcBorders>
              <w:top w:val="single" w:sz="4" w:space="0" w:color="0070C0"/>
              <w:bottom w:val="single" w:sz="4" w:space="0" w:color="0070C0"/>
              <w:right w:val="single" w:sz="4" w:space="0" w:color="0070C0"/>
            </w:tcBorders>
          </w:tcPr>
          <w:p w14:paraId="5B48B7EC" w14:textId="17F270FF" w:rsidR="00BC644F" w:rsidRPr="00BB30F6" w:rsidRDefault="001C0774" w:rsidP="00853F0B">
            <w:pPr>
              <w:spacing w:before="60" w:after="60"/>
              <w:rPr>
                <w:bCs/>
                <w:sz w:val="22"/>
                <w:szCs w:val="22"/>
              </w:rPr>
            </w:pPr>
            <w:r w:rsidRPr="00BB30F6">
              <w:rPr>
                <w:bCs/>
                <w:sz w:val="22"/>
                <w:szCs w:val="22"/>
              </w:rPr>
              <w:t>Caroline Dunphy</w:t>
            </w:r>
          </w:p>
        </w:tc>
        <w:tc>
          <w:tcPr>
            <w:tcW w:w="3222" w:type="pct"/>
            <w:tcBorders>
              <w:top w:val="single" w:sz="4" w:space="0" w:color="0070C0"/>
              <w:left w:val="single" w:sz="4" w:space="0" w:color="0070C0"/>
              <w:bottom w:val="single" w:sz="4" w:space="0" w:color="0070C0"/>
            </w:tcBorders>
          </w:tcPr>
          <w:p w14:paraId="5B48B7ED" w14:textId="663ED405" w:rsidR="00BC644F" w:rsidRPr="00BB30F6" w:rsidRDefault="00042671" w:rsidP="00853F0B">
            <w:pPr>
              <w:spacing w:before="60" w:after="60"/>
              <w:rPr>
                <w:sz w:val="22"/>
                <w:szCs w:val="22"/>
              </w:rPr>
            </w:pPr>
            <w:r w:rsidRPr="00BB30F6">
              <w:rPr>
                <w:sz w:val="22"/>
                <w:szCs w:val="22"/>
              </w:rPr>
              <w:t>University Hospitals Plymouth (UHP)</w:t>
            </w:r>
          </w:p>
        </w:tc>
      </w:tr>
      <w:tr w:rsidR="00BC644F" w:rsidRPr="007E2EC6" w14:paraId="5B48B7F1" w14:textId="77777777" w:rsidTr="00853F0B">
        <w:trPr>
          <w:trHeight w:val="340"/>
        </w:trPr>
        <w:tc>
          <w:tcPr>
            <w:tcW w:w="1778" w:type="pct"/>
            <w:tcBorders>
              <w:top w:val="single" w:sz="4" w:space="0" w:color="0070C0"/>
              <w:bottom w:val="single" w:sz="4" w:space="0" w:color="0070C0"/>
              <w:right w:val="single" w:sz="4" w:space="0" w:color="0070C0"/>
            </w:tcBorders>
          </w:tcPr>
          <w:p w14:paraId="5B48B7EF" w14:textId="2D8CDE92" w:rsidR="00BC644F" w:rsidRPr="00BB30F6" w:rsidRDefault="001C0774" w:rsidP="00853F0B">
            <w:pPr>
              <w:spacing w:before="60" w:after="60"/>
              <w:rPr>
                <w:bCs/>
                <w:sz w:val="22"/>
                <w:szCs w:val="22"/>
              </w:rPr>
            </w:pPr>
            <w:r w:rsidRPr="00BB30F6">
              <w:rPr>
                <w:bCs/>
                <w:sz w:val="22"/>
                <w:szCs w:val="22"/>
              </w:rPr>
              <w:t>Kevin Baber</w:t>
            </w:r>
          </w:p>
        </w:tc>
        <w:tc>
          <w:tcPr>
            <w:tcW w:w="3222" w:type="pct"/>
            <w:tcBorders>
              <w:top w:val="single" w:sz="4" w:space="0" w:color="0070C0"/>
              <w:left w:val="single" w:sz="4" w:space="0" w:color="0070C0"/>
              <w:bottom w:val="single" w:sz="4" w:space="0" w:color="0070C0"/>
            </w:tcBorders>
          </w:tcPr>
          <w:p w14:paraId="5B48B7F0" w14:textId="48AEE65F" w:rsidR="00BC644F" w:rsidRPr="00BB30F6" w:rsidRDefault="001C0774" w:rsidP="00853F0B">
            <w:pPr>
              <w:spacing w:before="60" w:after="60"/>
              <w:rPr>
                <w:sz w:val="22"/>
                <w:szCs w:val="22"/>
              </w:rPr>
            </w:pPr>
            <w:r w:rsidRPr="00BB30F6">
              <w:rPr>
                <w:sz w:val="22"/>
                <w:szCs w:val="22"/>
              </w:rPr>
              <w:t>UHP</w:t>
            </w:r>
          </w:p>
        </w:tc>
      </w:tr>
      <w:tr w:rsidR="00BA6C3C" w:rsidRPr="007E2EC6" w14:paraId="4D3353FD" w14:textId="77777777" w:rsidTr="00853F0B">
        <w:trPr>
          <w:trHeight w:val="340"/>
        </w:trPr>
        <w:tc>
          <w:tcPr>
            <w:tcW w:w="1778" w:type="pct"/>
            <w:tcBorders>
              <w:top w:val="single" w:sz="4" w:space="0" w:color="0070C0"/>
              <w:bottom w:val="single" w:sz="4" w:space="0" w:color="0070C0"/>
              <w:right w:val="single" w:sz="4" w:space="0" w:color="0070C0"/>
            </w:tcBorders>
          </w:tcPr>
          <w:p w14:paraId="155B1566" w14:textId="3B8D5151" w:rsidR="00BA6C3C" w:rsidRPr="00BB30F6" w:rsidRDefault="00BA6C3C" w:rsidP="00853F0B">
            <w:pPr>
              <w:spacing w:before="60" w:after="60"/>
              <w:rPr>
                <w:bCs/>
                <w:sz w:val="22"/>
                <w:szCs w:val="22"/>
              </w:rPr>
            </w:pPr>
            <w:r w:rsidRPr="00BB30F6">
              <w:rPr>
                <w:bCs/>
                <w:sz w:val="22"/>
                <w:szCs w:val="22"/>
              </w:rPr>
              <w:t>Hisham Khalil</w:t>
            </w:r>
          </w:p>
        </w:tc>
        <w:tc>
          <w:tcPr>
            <w:tcW w:w="3222" w:type="pct"/>
            <w:tcBorders>
              <w:top w:val="single" w:sz="4" w:space="0" w:color="0070C0"/>
              <w:left w:val="single" w:sz="4" w:space="0" w:color="0070C0"/>
              <w:bottom w:val="single" w:sz="4" w:space="0" w:color="0070C0"/>
            </w:tcBorders>
          </w:tcPr>
          <w:p w14:paraId="6250B4C2" w14:textId="5F8D2C00" w:rsidR="00BA6C3C" w:rsidRPr="00BB30F6" w:rsidRDefault="00BA6C3C" w:rsidP="00853F0B">
            <w:pPr>
              <w:spacing w:before="60" w:after="60"/>
              <w:rPr>
                <w:sz w:val="22"/>
                <w:szCs w:val="22"/>
              </w:rPr>
            </w:pPr>
            <w:r w:rsidRPr="00BB30F6">
              <w:rPr>
                <w:sz w:val="22"/>
                <w:szCs w:val="22"/>
              </w:rPr>
              <w:t>U</w:t>
            </w:r>
            <w:r w:rsidR="00EB386D">
              <w:rPr>
                <w:sz w:val="22"/>
                <w:szCs w:val="22"/>
              </w:rPr>
              <w:t>niversity of Plymouth (</w:t>
            </w:r>
            <w:proofErr w:type="spellStart"/>
            <w:r w:rsidR="00EB386D">
              <w:rPr>
                <w:sz w:val="22"/>
                <w:szCs w:val="22"/>
              </w:rPr>
              <w:t>UoP</w:t>
            </w:r>
            <w:proofErr w:type="spellEnd"/>
            <w:r w:rsidR="00EB386D">
              <w:rPr>
                <w:sz w:val="22"/>
                <w:szCs w:val="22"/>
              </w:rPr>
              <w:t>)</w:t>
            </w:r>
          </w:p>
        </w:tc>
      </w:tr>
      <w:tr w:rsidR="00BA6C3C" w:rsidRPr="007E2EC6" w14:paraId="44457455" w14:textId="77777777" w:rsidTr="00853F0B">
        <w:trPr>
          <w:trHeight w:val="340"/>
        </w:trPr>
        <w:tc>
          <w:tcPr>
            <w:tcW w:w="1778" w:type="pct"/>
            <w:tcBorders>
              <w:top w:val="single" w:sz="4" w:space="0" w:color="0070C0"/>
              <w:bottom w:val="single" w:sz="4" w:space="0" w:color="0070C0"/>
              <w:right w:val="single" w:sz="4" w:space="0" w:color="0070C0"/>
            </w:tcBorders>
          </w:tcPr>
          <w:p w14:paraId="7774BAD0" w14:textId="3FF40428" w:rsidR="00BA6C3C" w:rsidRPr="00BB30F6" w:rsidRDefault="00BA6C3C" w:rsidP="00853F0B">
            <w:pPr>
              <w:spacing w:before="60" w:after="60"/>
              <w:rPr>
                <w:bCs/>
                <w:sz w:val="22"/>
                <w:szCs w:val="22"/>
              </w:rPr>
            </w:pPr>
            <w:r w:rsidRPr="00BB30F6">
              <w:rPr>
                <w:bCs/>
                <w:sz w:val="22"/>
                <w:szCs w:val="22"/>
              </w:rPr>
              <w:t>Amanda Price</w:t>
            </w:r>
          </w:p>
        </w:tc>
        <w:tc>
          <w:tcPr>
            <w:tcW w:w="3222" w:type="pct"/>
            <w:tcBorders>
              <w:top w:val="single" w:sz="4" w:space="0" w:color="0070C0"/>
              <w:left w:val="single" w:sz="4" w:space="0" w:color="0070C0"/>
              <w:bottom w:val="single" w:sz="4" w:space="0" w:color="0070C0"/>
            </w:tcBorders>
          </w:tcPr>
          <w:p w14:paraId="542FAE7B" w14:textId="68A84A91" w:rsidR="00BA6C3C" w:rsidRPr="00BB30F6" w:rsidRDefault="00BA6C3C" w:rsidP="00853F0B">
            <w:pPr>
              <w:spacing w:before="60" w:after="60"/>
              <w:rPr>
                <w:sz w:val="22"/>
                <w:szCs w:val="22"/>
              </w:rPr>
            </w:pPr>
            <w:proofErr w:type="spellStart"/>
            <w:r w:rsidRPr="00BB30F6">
              <w:rPr>
                <w:sz w:val="22"/>
                <w:szCs w:val="22"/>
              </w:rPr>
              <w:t>UoP</w:t>
            </w:r>
            <w:proofErr w:type="spellEnd"/>
          </w:p>
        </w:tc>
      </w:tr>
      <w:tr w:rsidR="00BA6C3C" w:rsidRPr="007E2EC6" w14:paraId="76B19F1E" w14:textId="77777777" w:rsidTr="00853F0B">
        <w:trPr>
          <w:trHeight w:val="340"/>
        </w:trPr>
        <w:tc>
          <w:tcPr>
            <w:tcW w:w="1778" w:type="pct"/>
            <w:tcBorders>
              <w:top w:val="single" w:sz="4" w:space="0" w:color="0070C0"/>
              <w:bottom w:val="single" w:sz="4" w:space="0" w:color="0070C0"/>
              <w:right w:val="single" w:sz="4" w:space="0" w:color="0070C0"/>
            </w:tcBorders>
          </w:tcPr>
          <w:p w14:paraId="0ED2B607" w14:textId="2FC9F5C8" w:rsidR="00BA6C3C" w:rsidRPr="00BB30F6" w:rsidRDefault="00380C11" w:rsidP="00853F0B">
            <w:pPr>
              <w:spacing w:before="60" w:after="60"/>
              <w:rPr>
                <w:bCs/>
                <w:sz w:val="22"/>
                <w:szCs w:val="22"/>
              </w:rPr>
            </w:pPr>
            <w:r w:rsidRPr="00BB30F6">
              <w:rPr>
                <w:bCs/>
                <w:sz w:val="22"/>
                <w:szCs w:val="22"/>
              </w:rPr>
              <w:t>Jennifer Jones</w:t>
            </w:r>
          </w:p>
        </w:tc>
        <w:tc>
          <w:tcPr>
            <w:tcW w:w="3222" w:type="pct"/>
            <w:tcBorders>
              <w:top w:val="single" w:sz="4" w:space="0" w:color="0070C0"/>
              <w:left w:val="single" w:sz="4" w:space="0" w:color="0070C0"/>
              <w:bottom w:val="single" w:sz="4" w:space="0" w:color="0070C0"/>
            </w:tcBorders>
          </w:tcPr>
          <w:p w14:paraId="449DD999" w14:textId="4784499F" w:rsidR="00BA6C3C" w:rsidRPr="00BB30F6" w:rsidRDefault="00380C11" w:rsidP="00853F0B">
            <w:pPr>
              <w:spacing w:before="60" w:after="60"/>
              <w:rPr>
                <w:sz w:val="22"/>
                <w:szCs w:val="22"/>
              </w:rPr>
            </w:pPr>
            <w:proofErr w:type="spellStart"/>
            <w:r w:rsidRPr="00BB30F6">
              <w:rPr>
                <w:sz w:val="22"/>
                <w:szCs w:val="22"/>
              </w:rPr>
              <w:t>UoP</w:t>
            </w:r>
            <w:proofErr w:type="spellEnd"/>
          </w:p>
        </w:tc>
      </w:tr>
      <w:tr w:rsidR="00380C11" w:rsidRPr="007E2EC6" w14:paraId="0EA91B86" w14:textId="77777777" w:rsidTr="00853F0B">
        <w:trPr>
          <w:trHeight w:val="340"/>
        </w:trPr>
        <w:tc>
          <w:tcPr>
            <w:tcW w:w="1778" w:type="pct"/>
            <w:tcBorders>
              <w:top w:val="single" w:sz="4" w:space="0" w:color="0070C0"/>
              <w:bottom w:val="single" w:sz="4" w:space="0" w:color="0070C0"/>
              <w:right w:val="single" w:sz="4" w:space="0" w:color="0070C0"/>
            </w:tcBorders>
          </w:tcPr>
          <w:p w14:paraId="037273E9" w14:textId="7F498B38" w:rsidR="00380C11" w:rsidRPr="00BB30F6" w:rsidRDefault="00380C11" w:rsidP="00853F0B">
            <w:pPr>
              <w:spacing w:before="60" w:after="60"/>
              <w:rPr>
                <w:bCs/>
                <w:sz w:val="22"/>
                <w:szCs w:val="22"/>
              </w:rPr>
            </w:pPr>
            <w:r w:rsidRPr="00BB30F6">
              <w:rPr>
                <w:bCs/>
                <w:sz w:val="22"/>
                <w:szCs w:val="22"/>
              </w:rPr>
              <w:t>Rachel Burn</w:t>
            </w:r>
          </w:p>
        </w:tc>
        <w:tc>
          <w:tcPr>
            <w:tcW w:w="3222" w:type="pct"/>
            <w:tcBorders>
              <w:top w:val="single" w:sz="4" w:space="0" w:color="0070C0"/>
              <w:left w:val="single" w:sz="4" w:space="0" w:color="0070C0"/>
              <w:bottom w:val="single" w:sz="4" w:space="0" w:color="0070C0"/>
            </w:tcBorders>
          </w:tcPr>
          <w:p w14:paraId="58D56C50" w14:textId="116EE142" w:rsidR="00380C11" w:rsidRPr="00BB30F6" w:rsidRDefault="00042671" w:rsidP="00853F0B">
            <w:pPr>
              <w:spacing w:before="60" w:after="60"/>
              <w:rPr>
                <w:sz w:val="22"/>
                <w:szCs w:val="22"/>
              </w:rPr>
            </w:pPr>
            <w:r w:rsidRPr="00BB30F6">
              <w:rPr>
                <w:sz w:val="22"/>
                <w:szCs w:val="22"/>
              </w:rPr>
              <w:t>University of Exeter (</w:t>
            </w:r>
            <w:proofErr w:type="spellStart"/>
            <w:r w:rsidR="00380C11" w:rsidRPr="00BB30F6">
              <w:rPr>
                <w:sz w:val="22"/>
                <w:szCs w:val="22"/>
              </w:rPr>
              <w:t>UoE</w:t>
            </w:r>
            <w:proofErr w:type="spellEnd"/>
            <w:r w:rsidRPr="00BB30F6">
              <w:rPr>
                <w:sz w:val="22"/>
                <w:szCs w:val="22"/>
              </w:rPr>
              <w:t>)</w:t>
            </w:r>
          </w:p>
        </w:tc>
      </w:tr>
      <w:tr w:rsidR="00380C11" w:rsidRPr="007E2EC6" w14:paraId="6C40E91F" w14:textId="77777777" w:rsidTr="00853F0B">
        <w:trPr>
          <w:trHeight w:val="340"/>
        </w:trPr>
        <w:tc>
          <w:tcPr>
            <w:tcW w:w="1778" w:type="pct"/>
            <w:tcBorders>
              <w:top w:val="single" w:sz="4" w:space="0" w:color="0070C0"/>
              <w:bottom w:val="single" w:sz="4" w:space="0" w:color="0070C0"/>
              <w:right w:val="single" w:sz="4" w:space="0" w:color="0070C0"/>
            </w:tcBorders>
          </w:tcPr>
          <w:p w14:paraId="5417C1F6" w14:textId="5E167644" w:rsidR="00380C11" w:rsidRPr="00BB30F6" w:rsidRDefault="00380C11" w:rsidP="00853F0B">
            <w:pPr>
              <w:spacing w:before="60" w:after="60"/>
              <w:rPr>
                <w:bCs/>
                <w:sz w:val="22"/>
                <w:szCs w:val="22"/>
              </w:rPr>
            </w:pPr>
            <w:r w:rsidRPr="00BB30F6">
              <w:rPr>
                <w:bCs/>
                <w:sz w:val="22"/>
                <w:szCs w:val="22"/>
              </w:rPr>
              <w:t>Ian Fussell</w:t>
            </w:r>
          </w:p>
        </w:tc>
        <w:tc>
          <w:tcPr>
            <w:tcW w:w="3222" w:type="pct"/>
            <w:tcBorders>
              <w:top w:val="single" w:sz="4" w:space="0" w:color="0070C0"/>
              <w:left w:val="single" w:sz="4" w:space="0" w:color="0070C0"/>
              <w:bottom w:val="single" w:sz="4" w:space="0" w:color="0070C0"/>
            </w:tcBorders>
          </w:tcPr>
          <w:p w14:paraId="2E78D2EF" w14:textId="6C52E508" w:rsidR="00380C11" w:rsidRPr="00BB30F6" w:rsidRDefault="00380C11" w:rsidP="00853F0B">
            <w:pPr>
              <w:spacing w:before="60" w:after="60"/>
              <w:rPr>
                <w:sz w:val="22"/>
                <w:szCs w:val="22"/>
              </w:rPr>
            </w:pPr>
            <w:proofErr w:type="spellStart"/>
            <w:r w:rsidRPr="00BB30F6">
              <w:rPr>
                <w:sz w:val="22"/>
                <w:szCs w:val="22"/>
              </w:rPr>
              <w:t>UoE</w:t>
            </w:r>
            <w:proofErr w:type="spellEnd"/>
          </w:p>
        </w:tc>
      </w:tr>
      <w:tr w:rsidR="00380C11" w:rsidRPr="007E2EC6" w14:paraId="4FE03B8E" w14:textId="77777777" w:rsidTr="00853F0B">
        <w:trPr>
          <w:trHeight w:val="340"/>
        </w:trPr>
        <w:tc>
          <w:tcPr>
            <w:tcW w:w="1778" w:type="pct"/>
            <w:tcBorders>
              <w:top w:val="single" w:sz="4" w:space="0" w:color="0070C0"/>
              <w:bottom w:val="single" w:sz="4" w:space="0" w:color="0070C0"/>
              <w:right w:val="single" w:sz="4" w:space="0" w:color="0070C0"/>
            </w:tcBorders>
          </w:tcPr>
          <w:p w14:paraId="6947B9C0" w14:textId="5FCAE516" w:rsidR="00380C11" w:rsidRPr="00BB30F6" w:rsidRDefault="00380C11" w:rsidP="00853F0B">
            <w:pPr>
              <w:spacing w:before="60" w:after="60"/>
              <w:rPr>
                <w:bCs/>
                <w:sz w:val="22"/>
                <w:szCs w:val="22"/>
              </w:rPr>
            </w:pPr>
            <w:r w:rsidRPr="00BB30F6">
              <w:rPr>
                <w:bCs/>
                <w:sz w:val="22"/>
                <w:szCs w:val="22"/>
              </w:rPr>
              <w:t>Karen Knapp</w:t>
            </w:r>
          </w:p>
        </w:tc>
        <w:tc>
          <w:tcPr>
            <w:tcW w:w="3222" w:type="pct"/>
            <w:tcBorders>
              <w:top w:val="single" w:sz="4" w:space="0" w:color="0070C0"/>
              <w:left w:val="single" w:sz="4" w:space="0" w:color="0070C0"/>
              <w:bottom w:val="single" w:sz="4" w:space="0" w:color="0070C0"/>
            </w:tcBorders>
          </w:tcPr>
          <w:p w14:paraId="7FADF6C1" w14:textId="61697792" w:rsidR="00380C11" w:rsidRPr="00BB30F6" w:rsidRDefault="00380C11" w:rsidP="00853F0B">
            <w:pPr>
              <w:spacing w:before="60" w:after="60"/>
              <w:rPr>
                <w:sz w:val="22"/>
                <w:szCs w:val="22"/>
              </w:rPr>
            </w:pPr>
            <w:proofErr w:type="spellStart"/>
            <w:r w:rsidRPr="00BB30F6">
              <w:rPr>
                <w:sz w:val="22"/>
                <w:szCs w:val="22"/>
              </w:rPr>
              <w:t>UoE</w:t>
            </w:r>
            <w:proofErr w:type="spellEnd"/>
          </w:p>
        </w:tc>
      </w:tr>
    </w:tbl>
    <w:p w14:paraId="40ECC6E3" w14:textId="5696B839" w:rsidR="006F0200" w:rsidRDefault="006F0200" w:rsidP="00E2631D"/>
    <w:p w14:paraId="6F2640AA" w14:textId="298BB16C" w:rsidR="006F0200" w:rsidRDefault="006F0200" w:rsidP="00E2631D"/>
    <w:p w14:paraId="6F2232DB" w14:textId="77777777" w:rsidR="006F0200" w:rsidRPr="00E2631D" w:rsidRDefault="006F0200" w:rsidP="00E2631D"/>
    <w:p w14:paraId="5B48B7FB" w14:textId="77777777" w:rsidR="00F304E8" w:rsidRDefault="00F304E8" w:rsidP="00F304E8">
      <w:pPr>
        <w:pStyle w:val="Heading2"/>
      </w:pPr>
      <w:r>
        <w:t>Executive summary</w:t>
      </w:r>
    </w:p>
    <w:tbl>
      <w:tblPr>
        <w:tblStyle w:val="TableGrid"/>
        <w:tblW w:w="0" w:type="auto"/>
        <w:tblInd w:w="108"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9923"/>
      </w:tblGrid>
      <w:tr w:rsidR="00F304E8" w14:paraId="5B48B800" w14:textId="77777777" w:rsidTr="00F304E8">
        <w:tc>
          <w:tcPr>
            <w:tcW w:w="9923" w:type="dxa"/>
          </w:tcPr>
          <w:p w14:paraId="5DD6421F" w14:textId="77777777" w:rsidR="00F304E8" w:rsidRDefault="00F304E8" w:rsidP="00F304E8"/>
          <w:p w14:paraId="49E5CAD1" w14:textId="36EA8AAD" w:rsidR="00314F03" w:rsidRDefault="00EB6242" w:rsidP="00F304E8">
            <w:r>
              <w:t xml:space="preserve">The </w:t>
            </w:r>
            <w:r w:rsidR="00EB77B9">
              <w:t xml:space="preserve">concerns visit was triggered by </w:t>
            </w:r>
            <w:r w:rsidR="00A23066">
              <w:t xml:space="preserve">intelligence indicating disagreement </w:t>
            </w:r>
            <w:r w:rsidR="006F03F4">
              <w:t xml:space="preserve">between </w:t>
            </w:r>
            <w:r w:rsidR="00CD7298">
              <w:t xml:space="preserve">University of </w:t>
            </w:r>
            <w:r w:rsidR="006F03F4">
              <w:t xml:space="preserve">Exeter and </w:t>
            </w:r>
            <w:r w:rsidR="00563C25">
              <w:t xml:space="preserve">University of </w:t>
            </w:r>
            <w:r w:rsidR="006F03F4">
              <w:t xml:space="preserve">Plymouth </w:t>
            </w:r>
            <w:r w:rsidR="007867B0">
              <w:t>S</w:t>
            </w:r>
            <w:r w:rsidR="006F03F4">
              <w:t xml:space="preserve">chools of </w:t>
            </w:r>
            <w:r w:rsidR="00825AE3">
              <w:t xml:space="preserve">Diagnostic </w:t>
            </w:r>
            <w:r w:rsidR="00314F03">
              <w:t>R</w:t>
            </w:r>
            <w:r w:rsidR="006F03F4">
              <w:t xml:space="preserve">adiography </w:t>
            </w:r>
            <w:r w:rsidR="00245CB2">
              <w:t xml:space="preserve">programmes </w:t>
            </w:r>
            <w:r w:rsidR="006F03F4">
              <w:t xml:space="preserve">and the </w:t>
            </w:r>
            <w:r w:rsidR="00363F62">
              <w:t xml:space="preserve">provider </w:t>
            </w:r>
            <w:r w:rsidR="00B86E53">
              <w:t>UHP</w:t>
            </w:r>
            <w:r w:rsidR="003A70BA">
              <w:t>,</w:t>
            </w:r>
            <w:r w:rsidR="00363F62">
              <w:t xml:space="preserve"> regarding the </w:t>
            </w:r>
            <w:r w:rsidR="006F03F4">
              <w:t>number of learners</w:t>
            </w:r>
            <w:r w:rsidR="00363F62">
              <w:t xml:space="preserve"> to be placed in the department</w:t>
            </w:r>
            <w:r w:rsidR="00F2002A">
              <w:t xml:space="preserve">. </w:t>
            </w:r>
            <w:r w:rsidR="00B176E1">
              <w:t xml:space="preserve">The numbers require to be agreed in a timely and </w:t>
            </w:r>
            <w:r w:rsidR="005B4E93">
              <w:t xml:space="preserve">universally </w:t>
            </w:r>
            <w:r w:rsidR="00BB0C16" w:rsidRPr="00103A13">
              <w:t>accepted</w:t>
            </w:r>
            <w:r w:rsidR="00BB0C16">
              <w:t xml:space="preserve"> </w:t>
            </w:r>
            <w:r w:rsidR="005B4E93">
              <w:t>manner to ensure the quality of the learning environment</w:t>
            </w:r>
            <w:r w:rsidR="00E03E3A">
              <w:t xml:space="preserve"> meets the required standards.</w:t>
            </w:r>
          </w:p>
          <w:p w14:paraId="7A024613" w14:textId="77777777" w:rsidR="001B6A13" w:rsidRDefault="00E03E3A" w:rsidP="00F304E8">
            <w:r>
              <w:br/>
            </w:r>
            <w:r w:rsidR="00A1506A">
              <w:t xml:space="preserve">All parties agreed that </w:t>
            </w:r>
            <w:r w:rsidR="00C323EA">
              <w:t xml:space="preserve">the concern was real. It is apparent that the provider </w:t>
            </w:r>
            <w:r w:rsidR="00915CE9">
              <w:t xml:space="preserve">has workforce recruitment concerns leading to challenges meeting service delivery and capacity to </w:t>
            </w:r>
            <w:r w:rsidR="00AC2E1B">
              <w:t xml:space="preserve">provide sufficient placements to meet the demands of the </w:t>
            </w:r>
            <w:r w:rsidR="0091201F">
              <w:t>two schools.</w:t>
            </w:r>
            <w:r w:rsidR="001B6A13">
              <w:t xml:space="preserve">  </w:t>
            </w:r>
            <w:r w:rsidR="0091201F">
              <w:t>The workforce concerns are being addresse</w:t>
            </w:r>
            <w:r w:rsidR="005C5436">
              <w:t>d.</w:t>
            </w:r>
          </w:p>
          <w:p w14:paraId="263C0976" w14:textId="03026223" w:rsidR="00A4678E" w:rsidRDefault="00241719" w:rsidP="00F304E8">
            <w:r>
              <w:br/>
              <w:t xml:space="preserve">There </w:t>
            </w:r>
            <w:r w:rsidR="002442AC">
              <w:t xml:space="preserve">doesn’t appear to be a process whereby </w:t>
            </w:r>
            <w:r w:rsidR="001A0632">
              <w:t>concerns and future developments can be discussed in a productive fashion between the various stakeholders.</w:t>
            </w:r>
            <w:r w:rsidR="008571DD">
              <w:t xml:space="preserve">  </w:t>
            </w:r>
            <w:r w:rsidR="005A2E3B">
              <w:t>Agreement was reached</w:t>
            </w:r>
            <w:r w:rsidR="00C00B6F">
              <w:t xml:space="preserve"> regarding the capacity the department can take for intake </w:t>
            </w:r>
            <w:r w:rsidR="00852F59">
              <w:t xml:space="preserve">September 2020. Further discussion is necessary for </w:t>
            </w:r>
            <w:r w:rsidR="00B35B8E">
              <w:t>future years.</w:t>
            </w:r>
            <w:r w:rsidR="004E5869">
              <w:t xml:space="preserve">  </w:t>
            </w:r>
            <w:r w:rsidR="00B35B8E">
              <w:t>Induction for interval placements require further discussion.</w:t>
            </w:r>
            <w:r w:rsidR="001F1976">
              <w:t xml:space="preserve">  </w:t>
            </w:r>
          </w:p>
          <w:p w14:paraId="310554F6" w14:textId="77777777" w:rsidR="008571DD" w:rsidRDefault="008571DD" w:rsidP="00F304E8"/>
          <w:p w14:paraId="123DAFBF" w14:textId="558A638F" w:rsidR="00A4678E" w:rsidRDefault="000C5978" w:rsidP="00F304E8">
            <w:r>
              <w:t xml:space="preserve">HEE agreed to facilitate ongoing discussions with the </w:t>
            </w:r>
            <w:r w:rsidR="00A86312">
              <w:t xml:space="preserve">HEIs and providers with the aim that a </w:t>
            </w:r>
            <w:r w:rsidR="00BB0C16" w:rsidRPr="00103A13">
              <w:t>tri-party</w:t>
            </w:r>
            <w:r w:rsidR="00BB0C16">
              <w:t xml:space="preserve"> </w:t>
            </w:r>
            <w:r w:rsidR="00A86312">
              <w:t xml:space="preserve">group can </w:t>
            </w:r>
            <w:r w:rsidR="00EB41C2">
              <w:t>reach maturity where ongoing concerns and developments can</w:t>
            </w:r>
            <w:r w:rsidR="00273F8D">
              <w:t xml:space="preserve"> be resolved</w:t>
            </w:r>
            <w:r w:rsidR="00D42B19">
              <w:t xml:space="preserve"> with agreement by all.</w:t>
            </w:r>
            <w:r w:rsidR="008571DD">
              <w:t xml:space="preserve">  </w:t>
            </w:r>
            <w:r w:rsidR="002204C0">
              <w:t>The group needs to explore and be prepared to implement new ways of education provision</w:t>
            </w:r>
            <w:r w:rsidR="00BB0C16">
              <w:t xml:space="preserve"> </w:t>
            </w:r>
            <w:r w:rsidR="00CF14AC">
              <w:t xml:space="preserve">when this is </w:t>
            </w:r>
            <w:r w:rsidR="000E2C14">
              <w:t xml:space="preserve">going </w:t>
            </w:r>
            <w:r w:rsidR="00CF14AC">
              <w:t xml:space="preserve">to </w:t>
            </w:r>
            <w:r w:rsidR="00D91209">
              <w:t xml:space="preserve">lead to </w:t>
            </w:r>
            <w:r w:rsidR="00CF14AC">
              <w:t xml:space="preserve">the benefit of patient care both in </w:t>
            </w:r>
            <w:r w:rsidR="00D91209">
              <w:t>the</w:t>
            </w:r>
            <w:r w:rsidR="00CF14AC">
              <w:t xml:space="preserve"> </w:t>
            </w:r>
            <w:r w:rsidR="00BC6174">
              <w:t>immediate and long term</w:t>
            </w:r>
            <w:r w:rsidR="00D91209">
              <w:t>.</w:t>
            </w:r>
          </w:p>
          <w:p w14:paraId="5B48B7FF" w14:textId="003BD3EC" w:rsidR="00A4678E" w:rsidRDefault="00A4678E" w:rsidP="00F304E8"/>
        </w:tc>
      </w:tr>
    </w:tbl>
    <w:p w14:paraId="5B48B802" w14:textId="77777777" w:rsidR="00BC644F" w:rsidRDefault="00BC644F" w:rsidP="00BC644F"/>
    <w:p w14:paraId="5B48B803" w14:textId="77777777" w:rsidR="00BC644F" w:rsidRDefault="00BC644F" w:rsidP="00BC644F">
      <w:pPr>
        <w:rPr>
          <w:rFonts w:eastAsia="MS Gothic"/>
          <w:b/>
          <w:bCs/>
          <w:color w:val="003893"/>
          <w:sz w:val="28"/>
          <w:szCs w:val="28"/>
        </w:rPr>
      </w:pPr>
      <w:bookmarkStart w:id="3" w:name="_Toc458755040"/>
      <w:r>
        <w:br w:type="page"/>
      </w:r>
    </w:p>
    <w:p w14:paraId="5B48B804" w14:textId="77777777" w:rsidR="00BC644F" w:rsidRDefault="00F304E8" w:rsidP="00F304E8">
      <w:pPr>
        <w:pStyle w:val="Heading1"/>
        <w:jc w:val="center"/>
      </w:pPr>
      <w:r>
        <w:lastRenderedPageBreak/>
        <w:t>Sign off and next steps</w:t>
      </w:r>
    </w:p>
    <w:p w14:paraId="5B48B805" w14:textId="77777777" w:rsidR="00BC644F" w:rsidRDefault="00F304E8" w:rsidP="00BC644F">
      <w:pPr>
        <w:pStyle w:val="Heading2"/>
      </w:pPr>
      <w:r>
        <w:t>R</w:t>
      </w:r>
      <w:r w:rsidR="00BC644F">
        <w:t>eport sign off</w:t>
      </w:r>
      <w:bookmarkEnd w:id="3"/>
    </w:p>
    <w:tbl>
      <w:tblPr>
        <w:tblW w:w="4816" w:type="pct"/>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4019"/>
        <w:gridCol w:w="5775"/>
      </w:tblGrid>
      <w:tr w:rsidR="00BC644F" w:rsidRPr="00455B2F" w14:paraId="5B48B808" w14:textId="77777777" w:rsidTr="00853F0B">
        <w:trPr>
          <w:trHeight w:val="397"/>
        </w:trPr>
        <w:tc>
          <w:tcPr>
            <w:tcW w:w="2052" w:type="pct"/>
            <w:tcBorders>
              <w:top w:val="single" w:sz="12" w:space="0" w:color="0070C0"/>
              <w:bottom w:val="single" w:sz="4" w:space="0" w:color="0070C0"/>
              <w:right w:val="single" w:sz="4" w:space="0" w:color="0070C0"/>
            </w:tcBorders>
            <w:shd w:val="clear" w:color="auto" w:fill="0070C0"/>
            <w:vAlign w:val="center"/>
          </w:tcPr>
          <w:p w14:paraId="5B48B806" w14:textId="77777777" w:rsidR="00BC644F" w:rsidRPr="002C2753" w:rsidRDefault="00BC644F" w:rsidP="00853F0B">
            <w:pPr>
              <w:pStyle w:val="BodyTextIndent"/>
              <w:spacing w:after="40"/>
              <w:ind w:left="0"/>
              <w:rPr>
                <w:rFonts w:ascii="Arial" w:hAnsi="Arial" w:cs="Arial"/>
                <w:b/>
                <w:color w:val="FFFFFF" w:themeColor="background1"/>
                <w:sz w:val="20"/>
                <w:szCs w:val="20"/>
              </w:rPr>
            </w:pPr>
            <w:r>
              <w:rPr>
                <w:rFonts w:ascii="Arial" w:hAnsi="Arial" w:cs="Arial"/>
                <w:b/>
                <w:color w:val="FFFFFF" w:themeColor="background1"/>
                <w:sz w:val="20"/>
                <w:szCs w:val="20"/>
              </w:rPr>
              <w:t>Outcome</w:t>
            </w:r>
            <w:r w:rsidRPr="002C2753">
              <w:rPr>
                <w:rFonts w:ascii="Arial" w:hAnsi="Arial" w:cs="Arial"/>
                <w:b/>
                <w:color w:val="FFFFFF" w:themeColor="background1"/>
                <w:sz w:val="20"/>
                <w:szCs w:val="20"/>
              </w:rPr>
              <w:t xml:space="preserve"> report completed by </w:t>
            </w:r>
            <w:r w:rsidRPr="002C2753">
              <w:rPr>
                <w:rFonts w:ascii="Arial" w:hAnsi="Arial" w:cs="Arial"/>
                <w:i/>
                <w:color w:val="FFFFFF" w:themeColor="background1"/>
                <w:sz w:val="20"/>
                <w:szCs w:val="20"/>
              </w:rPr>
              <w:t>(name)</w:t>
            </w:r>
            <w:r w:rsidRPr="002C2753">
              <w:rPr>
                <w:rFonts w:ascii="Arial" w:hAnsi="Arial" w:cs="Arial"/>
                <w:b/>
                <w:color w:val="FFFFFF" w:themeColor="background1"/>
                <w:sz w:val="20"/>
                <w:szCs w:val="20"/>
              </w:rPr>
              <w:t>:</w:t>
            </w:r>
          </w:p>
        </w:tc>
        <w:tc>
          <w:tcPr>
            <w:tcW w:w="2948" w:type="pct"/>
            <w:tcBorders>
              <w:top w:val="single" w:sz="12" w:space="0" w:color="0070C0"/>
              <w:left w:val="single" w:sz="4" w:space="0" w:color="0070C0"/>
              <w:bottom w:val="single" w:sz="4" w:space="0" w:color="0070C0"/>
            </w:tcBorders>
            <w:vAlign w:val="center"/>
          </w:tcPr>
          <w:p w14:paraId="5B48B807" w14:textId="13E2560A" w:rsidR="00BC644F" w:rsidRPr="00BB30F6" w:rsidRDefault="00A4678E" w:rsidP="00853F0B">
            <w:pPr>
              <w:pStyle w:val="BodyTextIndent"/>
              <w:spacing w:after="40"/>
              <w:ind w:left="0"/>
              <w:rPr>
                <w:rFonts w:ascii="Arial" w:hAnsi="Arial" w:cs="Arial"/>
              </w:rPr>
            </w:pPr>
            <w:r w:rsidRPr="00BB30F6">
              <w:rPr>
                <w:rFonts w:ascii="Arial" w:hAnsi="Arial" w:cs="Arial"/>
              </w:rPr>
              <w:t>Jane Bunce / Martin Davis</w:t>
            </w:r>
          </w:p>
        </w:tc>
      </w:tr>
      <w:tr w:rsidR="00BC644F" w:rsidRPr="00455B2F" w14:paraId="5B48B80B" w14:textId="77777777" w:rsidTr="00853F0B">
        <w:trPr>
          <w:trHeight w:val="397"/>
        </w:trPr>
        <w:tc>
          <w:tcPr>
            <w:tcW w:w="2052" w:type="pct"/>
            <w:tcBorders>
              <w:top w:val="single" w:sz="4" w:space="0" w:color="0070C0"/>
              <w:bottom w:val="single" w:sz="4" w:space="0" w:color="0070C0"/>
              <w:right w:val="single" w:sz="4" w:space="0" w:color="0070C0"/>
            </w:tcBorders>
            <w:shd w:val="clear" w:color="auto" w:fill="0070C0"/>
            <w:vAlign w:val="center"/>
          </w:tcPr>
          <w:p w14:paraId="5B48B809" w14:textId="77777777" w:rsidR="00BC644F" w:rsidRPr="002C2753" w:rsidRDefault="00BC644F" w:rsidP="00853F0B">
            <w:pPr>
              <w:pStyle w:val="BodyTextIndent"/>
              <w:spacing w:after="40"/>
              <w:ind w:left="0"/>
              <w:rPr>
                <w:rFonts w:ascii="Arial" w:hAnsi="Arial" w:cs="Arial"/>
                <w:b/>
                <w:color w:val="FFFFFF" w:themeColor="background1"/>
                <w:sz w:val="20"/>
                <w:szCs w:val="20"/>
              </w:rPr>
            </w:pPr>
            <w:r>
              <w:rPr>
                <w:rFonts w:ascii="Arial" w:hAnsi="Arial" w:cs="Arial"/>
                <w:b/>
                <w:color w:val="FFFFFF" w:themeColor="background1"/>
                <w:sz w:val="20"/>
                <w:szCs w:val="20"/>
              </w:rPr>
              <w:t>Chair’s</w:t>
            </w:r>
            <w:r w:rsidRPr="002C2753">
              <w:rPr>
                <w:rFonts w:ascii="Arial" w:hAnsi="Arial" w:cs="Arial"/>
                <w:b/>
                <w:color w:val="FFFFFF" w:themeColor="background1"/>
                <w:sz w:val="20"/>
                <w:szCs w:val="20"/>
              </w:rPr>
              <w:t xml:space="preserve"> signature:</w:t>
            </w:r>
          </w:p>
        </w:tc>
        <w:tc>
          <w:tcPr>
            <w:tcW w:w="2948" w:type="pct"/>
            <w:tcBorders>
              <w:top w:val="single" w:sz="4" w:space="0" w:color="0070C0"/>
              <w:left w:val="single" w:sz="4" w:space="0" w:color="0070C0"/>
              <w:bottom w:val="single" w:sz="4" w:space="0" w:color="0070C0"/>
            </w:tcBorders>
            <w:vAlign w:val="center"/>
          </w:tcPr>
          <w:p w14:paraId="5B48B80A" w14:textId="0FC4B9FF" w:rsidR="00BC644F" w:rsidRPr="002C2753" w:rsidRDefault="005F5B2D" w:rsidP="00853F0B">
            <w:pPr>
              <w:pStyle w:val="BodyTextIndent"/>
              <w:spacing w:after="40"/>
              <w:ind w:left="0"/>
              <w:rPr>
                <w:rFonts w:ascii="Arial" w:hAnsi="Arial" w:cs="Arial"/>
                <w:sz w:val="20"/>
                <w:szCs w:val="20"/>
              </w:rPr>
            </w:pPr>
            <w:r>
              <w:rPr>
                <w:rFonts w:ascii="Arial" w:hAnsi="Arial" w:cs="Arial"/>
                <w:sz w:val="20"/>
                <w:szCs w:val="20"/>
              </w:rPr>
              <w:t>Martin Davis</w:t>
            </w:r>
          </w:p>
        </w:tc>
      </w:tr>
      <w:tr w:rsidR="00BC644F" w:rsidRPr="00455B2F" w14:paraId="5B48B80E" w14:textId="77777777" w:rsidTr="00853F0B">
        <w:trPr>
          <w:trHeight w:val="397"/>
        </w:trPr>
        <w:tc>
          <w:tcPr>
            <w:tcW w:w="2052" w:type="pct"/>
            <w:tcBorders>
              <w:top w:val="single" w:sz="4" w:space="0" w:color="0070C0"/>
              <w:bottom w:val="nil"/>
              <w:right w:val="single" w:sz="4" w:space="0" w:color="0070C0"/>
            </w:tcBorders>
            <w:shd w:val="clear" w:color="auto" w:fill="0070C0"/>
            <w:vAlign w:val="center"/>
          </w:tcPr>
          <w:p w14:paraId="5B48B80C" w14:textId="77777777" w:rsidR="00BC644F" w:rsidRPr="002C2753" w:rsidRDefault="00BC644F" w:rsidP="00853F0B">
            <w:pPr>
              <w:pStyle w:val="BodyTextIndent"/>
              <w:spacing w:after="40"/>
              <w:ind w:left="0"/>
              <w:rPr>
                <w:rFonts w:ascii="Arial" w:hAnsi="Arial" w:cs="Arial"/>
                <w:b/>
                <w:color w:val="FFFFFF" w:themeColor="background1"/>
                <w:sz w:val="20"/>
                <w:szCs w:val="20"/>
              </w:rPr>
            </w:pPr>
            <w:r w:rsidRPr="002C2753">
              <w:rPr>
                <w:rFonts w:ascii="Arial" w:hAnsi="Arial" w:cs="Arial"/>
                <w:b/>
                <w:color w:val="FFFFFF" w:themeColor="background1"/>
                <w:sz w:val="20"/>
                <w:szCs w:val="20"/>
              </w:rPr>
              <w:t>Date signed:</w:t>
            </w:r>
          </w:p>
        </w:tc>
        <w:tc>
          <w:tcPr>
            <w:tcW w:w="2948" w:type="pct"/>
            <w:tcBorders>
              <w:top w:val="single" w:sz="4" w:space="0" w:color="0070C0"/>
              <w:left w:val="single" w:sz="4" w:space="0" w:color="0070C0"/>
              <w:bottom w:val="nil"/>
            </w:tcBorders>
            <w:vAlign w:val="center"/>
          </w:tcPr>
          <w:p w14:paraId="5B48B80D" w14:textId="3932E3DA" w:rsidR="00BC644F" w:rsidRPr="002C2753" w:rsidRDefault="005F5B2D" w:rsidP="00853F0B">
            <w:pPr>
              <w:pStyle w:val="BodyTextIndent"/>
              <w:spacing w:after="40"/>
              <w:ind w:left="0"/>
              <w:rPr>
                <w:rFonts w:ascii="Arial" w:hAnsi="Arial" w:cs="Arial"/>
                <w:sz w:val="20"/>
                <w:szCs w:val="20"/>
              </w:rPr>
            </w:pPr>
            <w:r>
              <w:rPr>
                <w:rFonts w:ascii="Arial" w:hAnsi="Arial" w:cs="Arial"/>
                <w:sz w:val="20"/>
                <w:szCs w:val="20"/>
              </w:rPr>
              <w:t>16/9/20</w:t>
            </w:r>
          </w:p>
        </w:tc>
      </w:tr>
      <w:tr w:rsidR="00BC644F" w:rsidRPr="00455B2F" w14:paraId="5B48B810" w14:textId="77777777" w:rsidTr="00853F0B">
        <w:trPr>
          <w:trHeight w:val="397"/>
        </w:trPr>
        <w:tc>
          <w:tcPr>
            <w:tcW w:w="5000" w:type="pct"/>
            <w:gridSpan w:val="2"/>
            <w:tcBorders>
              <w:top w:val="nil"/>
              <w:bottom w:val="nil"/>
            </w:tcBorders>
            <w:shd w:val="clear" w:color="auto" w:fill="C6D9F1" w:themeFill="text2" w:themeFillTint="33"/>
            <w:vAlign w:val="center"/>
          </w:tcPr>
          <w:p w14:paraId="5B48B80F" w14:textId="77777777" w:rsidR="00BC644F" w:rsidRPr="005D6685" w:rsidRDefault="00BC644F" w:rsidP="00853F0B">
            <w:pPr>
              <w:pStyle w:val="BodyTextIndent"/>
              <w:spacing w:after="40"/>
              <w:ind w:left="0"/>
              <w:rPr>
                <w:rStyle w:val="Style2"/>
                <w:color w:val="0070C0"/>
                <w:sz w:val="20"/>
                <w:szCs w:val="20"/>
              </w:rPr>
            </w:pPr>
          </w:p>
        </w:tc>
      </w:tr>
      <w:tr w:rsidR="00BC644F" w:rsidRPr="00455B2F" w14:paraId="5B48B81B" w14:textId="77777777" w:rsidTr="00853F0B">
        <w:trPr>
          <w:trHeight w:val="397"/>
        </w:trPr>
        <w:tc>
          <w:tcPr>
            <w:tcW w:w="2052" w:type="pct"/>
            <w:tcBorders>
              <w:top w:val="single" w:sz="4" w:space="0" w:color="0070C0"/>
              <w:bottom w:val="single" w:sz="12" w:space="0" w:color="0070C0"/>
              <w:right w:val="single" w:sz="4" w:space="0" w:color="0070C0"/>
            </w:tcBorders>
            <w:shd w:val="clear" w:color="auto" w:fill="0070C0"/>
            <w:vAlign w:val="center"/>
          </w:tcPr>
          <w:p w14:paraId="5B48B819" w14:textId="04E1B075" w:rsidR="00BC644F" w:rsidRPr="00514AB6" w:rsidRDefault="00F304E8" w:rsidP="00853F0B">
            <w:pPr>
              <w:pStyle w:val="BodyTextIndent"/>
              <w:spacing w:after="40"/>
              <w:ind w:left="0"/>
              <w:rPr>
                <w:rFonts w:ascii="Arial" w:hAnsi="Arial" w:cs="Arial"/>
                <w:b/>
                <w:sz w:val="20"/>
                <w:szCs w:val="20"/>
              </w:rPr>
            </w:pPr>
            <w:r>
              <w:rPr>
                <w:rFonts w:ascii="Arial" w:hAnsi="Arial" w:cs="Arial"/>
                <w:b/>
                <w:color w:val="FFFFFF" w:themeColor="background1"/>
                <w:sz w:val="20"/>
                <w:szCs w:val="20"/>
              </w:rPr>
              <w:t>Date submitted to o</w:t>
            </w:r>
            <w:r w:rsidR="00BC644F">
              <w:rPr>
                <w:rFonts w:ascii="Arial" w:hAnsi="Arial" w:cs="Arial"/>
                <w:b/>
                <w:color w:val="FFFFFF" w:themeColor="background1"/>
                <w:sz w:val="20"/>
                <w:szCs w:val="20"/>
              </w:rPr>
              <w:t>rganisation</w:t>
            </w:r>
            <w:r w:rsidR="005F5B2D">
              <w:rPr>
                <w:rFonts w:ascii="Arial" w:hAnsi="Arial" w:cs="Arial"/>
                <w:b/>
                <w:color w:val="FFFFFF" w:themeColor="background1"/>
                <w:sz w:val="20"/>
                <w:szCs w:val="20"/>
              </w:rPr>
              <w:t>s</w:t>
            </w:r>
            <w:r w:rsidR="00BC644F" w:rsidRPr="002C2753">
              <w:rPr>
                <w:rFonts w:ascii="Arial" w:hAnsi="Arial" w:cs="Arial"/>
                <w:b/>
                <w:color w:val="FFFFFF" w:themeColor="background1"/>
                <w:sz w:val="20"/>
                <w:szCs w:val="20"/>
              </w:rPr>
              <w:t>:</w:t>
            </w:r>
          </w:p>
        </w:tc>
        <w:tc>
          <w:tcPr>
            <w:tcW w:w="2948" w:type="pct"/>
            <w:tcBorders>
              <w:top w:val="single" w:sz="4" w:space="0" w:color="0070C0"/>
              <w:left w:val="single" w:sz="4" w:space="0" w:color="0070C0"/>
              <w:bottom w:val="single" w:sz="12" w:space="0" w:color="0070C0"/>
            </w:tcBorders>
            <w:vAlign w:val="center"/>
          </w:tcPr>
          <w:p w14:paraId="5B48B81A" w14:textId="7DCBB49E" w:rsidR="00BC644F" w:rsidRPr="002C2753" w:rsidRDefault="005F5B2D" w:rsidP="00853F0B">
            <w:pPr>
              <w:pStyle w:val="BodyTextIndent"/>
              <w:spacing w:after="40"/>
              <w:ind w:left="0"/>
              <w:rPr>
                <w:rFonts w:ascii="Arial" w:hAnsi="Arial" w:cs="Arial"/>
                <w:sz w:val="20"/>
                <w:szCs w:val="20"/>
              </w:rPr>
            </w:pPr>
            <w:r>
              <w:rPr>
                <w:rFonts w:ascii="Arial" w:hAnsi="Arial" w:cs="Arial"/>
                <w:sz w:val="20"/>
                <w:szCs w:val="20"/>
              </w:rPr>
              <w:t>16/9/20</w:t>
            </w:r>
          </w:p>
        </w:tc>
      </w:tr>
    </w:tbl>
    <w:p w14:paraId="5B48B81C" w14:textId="77777777" w:rsidR="00BC644F" w:rsidRPr="002C2753" w:rsidRDefault="00BC644F" w:rsidP="00BC644F"/>
    <w:p w14:paraId="5B48B83B" w14:textId="77777777" w:rsidR="00BC644F" w:rsidRDefault="00BC644F" w:rsidP="00BC644F">
      <w:pPr>
        <w:rPr>
          <w:rFonts w:eastAsia="MS Gothic" w:cs="Arial"/>
          <w:b/>
          <w:bCs/>
          <w:color w:val="A00054"/>
          <w:sz w:val="40"/>
          <w:szCs w:val="40"/>
        </w:rPr>
      </w:pPr>
      <w:bookmarkStart w:id="4" w:name="_Toc458755042"/>
      <w:bookmarkStart w:id="5" w:name="_Toc458755043"/>
      <w:r>
        <w:br w:type="page"/>
      </w:r>
    </w:p>
    <w:p w14:paraId="5B48B83C" w14:textId="77777777" w:rsidR="00BC644F" w:rsidRDefault="00BC644F" w:rsidP="00CD2EEF">
      <w:pPr>
        <w:pStyle w:val="Heading1"/>
        <w:jc w:val="center"/>
      </w:pPr>
      <w:r>
        <w:lastRenderedPageBreak/>
        <w:t>Findings and conclusions</w:t>
      </w:r>
      <w:bookmarkEnd w:id="4"/>
    </w:p>
    <w:p w14:paraId="5B48B83D" w14:textId="77777777" w:rsidR="00BC644F" w:rsidRDefault="00BC644F" w:rsidP="00BC644F">
      <w:pPr>
        <w:pStyle w:val="Heading2"/>
      </w:pPr>
      <w:r>
        <w:t xml:space="preserve">Risk </w:t>
      </w:r>
      <w:r w:rsidR="00F304E8">
        <w:t>s</w:t>
      </w:r>
      <w:r>
        <w:t>cores (</w:t>
      </w:r>
      <w:r w:rsidR="00F304E8" w:rsidRPr="00F304E8">
        <w:rPr>
          <w:b w:val="0"/>
          <w:i/>
        </w:rPr>
        <w:t>1</w:t>
      </w:r>
      <w:r w:rsidR="00F304E8">
        <w:rPr>
          <w:i/>
        </w:rPr>
        <w:t xml:space="preserve"> – </w:t>
      </w:r>
      <w:r w:rsidRPr="00F304E8">
        <w:rPr>
          <w:b w:val="0"/>
          <w:i/>
        </w:rPr>
        <w:t>25</w:t>
      </w:r>
      <w:r w:rsidR="00F304E8">
        <w:rPr>
          <w:b w:val="0"/>
          <w:i/>
        </w:rPr>
        <w:t>; see Appendix 2 for breakdown</w:t>
      </w:r>
      <w:r>
        <w:t>)</w:t>
      </w:r>
    </w:p>
    <w:tbl>
      <w:tblPr>
        <w:tblW w:w="10031" w:type="dxa"/>
        <w:tblBorders>
          <w:top w:val="single" w:sz="12" w:space="0" w:color="0070C0"/>
          <w:left w:val="single" w:sz="12" w:space="0" w:color="0070C0"/>
          <w:bottom w:val="single" w:sz="12" w:space="0" w:color="0070C0"/>
          <w:right w:val="single" w:sz="12" w:space="0" w:color="0070C0"/>
          <w:insideH w:val="single" w:sz="4" w:space="0" w:color="0070C0"/>
          <w:insideV w:val="single" w:sz="4" w:space="0" w:color="0070C0"/>
        </w:tblBorders>
        <w:tblLook w:val="04A0" w:firstRow="1" w:lastRow="0" w:firstColumn="1" w:lastColumn="0" w:noHBand="0" w:noVBand="1"/>
      </w:tblPr>
      <w:tblGrid>
        <w:gridCol w:w="2088"/>
        <w:gridCol w:w="7943"/>
      </w:tblGrid>
      <w:tr w:rsidR="00BC644F" w:rsidRPr="004E220B" w14:paraId="5B48B843" w14:textId="77777777" w:rsidTr="005A50A0">
        <w:trPr>
          <w:trHeight w:val="454"/>
        </w:trPr>
        <w:tc>
          <w:tcPr>
            <w:tcW w:w="2088" w:type="dxa"/>
            <w:tcBorders>
              <w:top w:val="single" w:sz="12" w:space="0" w:color="0070C0"/>
              <w:bottom w:val="single" w:sz="4" w:space="0" w:color="0070C0"/>
            </w:tcBorders>
            <w:shd w:val="clear" w:color="auto" w:fill="0070C0"/>
            <w:vAlign w:val="center"/>
          </w:tcPr>
          <w:p w14:paraId="5B48B83E" w14:textId="77777777" w:rsidR="00BC644F" w:rsidRPr="00F304E8" w:rsidRDefault="00BC644F" w:rsidP="00853F0B">
            <w:pPr>
              <w:pStyle w:val="BodyTextIndent"/>
              <w:spacing w:after="40"/>
              <w:ind w:left="0"/>
              <w:jc w:val="left"/>
              <w:rPr>
                <w:rFonts w:ascii="Arial" w:hAnsi="Arial" w:cs="Arial"/>
                <w:b/>
                <w:color w:val="FFFFFF" w:themeColor="background1"/>
                <w:sz w:val="18"/>
                <w:szCs w:val="18"/>
              </w:rPr>
            </w:pPr>
            <w:r w:rsidRPr="00F304E8">
              <w:rPr>
                <w:rFonts w:ascii="Arial" w:hAnsi="Arial" w:cs="Arial"/>
                <w:b/>
                <w:color w:val="FFFFFF" w:themeColor="background1"/>
                <w:sz w:val="18"/>
                <w:szCs w:val="18"/>
              </w:rPr>
              <w:t>Scores prior to review:</w:t>
            </w:r>
          </w:p>
        </w:tc>
        <w:tc>
          <w:tcPr>
            <w:tcW w:w="7943" w:type="dxa"/>
            <w:vAlign w:val="center"/>
          </w:tcPr>
          <w:p w14:paraId="5B48B842" w14:textId="752DCF0F" w:rsidR="00E2631D" w:rsidRPr="001E769A" w:rsidRDefault="007867ED" w:rsidP="00853F0B">
            <w:pPr>
              <w:pStyle w:val="BodyTextIndent"/>
              <w:spacing w:after="40"/>
              <w:ind w:left="0"/>
              <w:rPr>
                <w:rFonts w:ascii="Arial" w:hAnsi="Arial" w:cs="Arial"/>
                <w:b/>
                <w:bCs/>
                <w:i/>
                <w:color w:val="FF0000"/>
                <w:sz w:val="20"/>
                <w:szCs w:val="20"/>
              </w:rPr>
            </w:pPr>
            <w:r>
              <w:rPr>
                <w:rFonts w:ascii="Arial" w:hAnsi="Arial" w:cs="Arial"/>
                <w:b/>
                <w:bCs/>
                <w:i/>
                <w:color w:val="FF0000"/>
                <w:sz w:val="20"/>
                <w:szCs w:val="20"/>
              </w:rPr>
              <w:t>Likelihood 4, Impact 4, Risk score 16</w:t>
            </w:r>
          </w:p>
        </w:tc>
      </w:tr>
      <w:tr w:rsidR="00BC644F" w:rsidRPr="004E220B" w14:paraId="5B48B846" w14:textId="77777777" w:rsidTr="005A50A0">
        <w:trPr>
          <w:trHeight w:val="454"/>
        </w:trPr>
        <w:tc>
          <w:tcPr>
            <w:tcW w:w="2088" w:type="dxa"/>
            <w:tcBorders>
              <w:top w:val="single" w:sz="4" w:space="0" w:color="0070C0"/>
              <w:bottom w:val="single" w:sz="12" w:space="0" w:color="0070C0"/>
            </w:tcBorders>
            <w:shd w:val="clear" w:color="auto" w:fill="0070C0"/>
            <w:vAlign w:val="center"/>
          </w:tcPr>
          <w:p w14:paraId="5B48B844" w14:textId="77777777" w:rsidR="00BC644F" w:rsidRPr="00F304E8" w:rsidRDefault="00BC644F" w:rsidP="00853F0B">
            <w:pPr>
              <w:pStyle w:val="BodyTextIndent"/>
              <w:spacing w:after="40"/>
              <w:ind w:left="0"/>
              <w:jc w:val="left"/>
              <w:rPr>
                <w:rFonts w:ascii="Arial" w:hAnsi="Arial" w:cs="Arial"/>
                <w:i/>
                <w:color w:val="FFFFFF" w:themeColor="background1"/>
                <w:sz w:val="18"/>
                <w:szCs w:val="18"/>
              </w:rPr>
            </w:pPr>
            <w:r w:rsidRPr="00F304E8">
              <w:rPr>
                <w:rFonts w:ascii="Arial" w:hAnsi="Arial" w:cs="Arial"/>
                <w:b/>
                <w:color w:val="FFFFFF" w:themeColor="background1"/>
                <w:sz w:val="18"/>
                <w:szCs w:val="18"/>
              </w:rPr>
              <w:t xml:space="preserve">Proposed scores following review: </w:t>
            </w:r>
          </w:p>
        </w:tc>
        <w:tc>
          <w:tcPr>
            <w:tcW w:w="7943" w:type="dxa"/>
            <w:vAlign w:val="center"/>
          </w:tcPr>
          <w:p w14:paraId="5B48B845" w14:textId="62D929EA" w:rsidR="00BC644F" w:rsidRPr="0038489F" w:rsidRDefault="007867ED" w:rsidP="00853F0B">
            <w:pPr>
              <w:pStyle w:val="BodyTextIndent"/>
              <w:spacing w:after="40"/>
              <w:ind w:left="0"/>
              <w:rPr>
                <w:rFonts w:ascii="Arial" w:hAnsi="Arial" w:cs="Arial"/>
                <w:b/>
                <w:sz w:val="20"/>
                <w:szCs w:val="20"/>
              </w:rPr>
            </w:pPr>
            <w:r>
              <w:rPr>
                <w:rFonts w:ascii="Arial" w:hAnsi="Arial" w:cs="Arial"/>
                <w:b/>
                <w:sz w:val="20"/>
                <w:szCs w:val="20"/>
              </w:rPr>
              <w:t>Likelihood 3, Impact 4, Risk score 12</w:t>
            </w:r>
          </w:p>
        </w:tc>
      </w:tr>
    </w:tbl>
    <w:p w14:paraId="5B48B847" w14:textId="77777777" w:rsidR="00BC644F" w:rsidRDefault="00BC644F" w:rsidP="00BC644F">
      <w:pPr>
        <w:pStyle w:val="Heading2"/>
      </w:pPr>
    </w:p>
    <w:bookmarkEnd w:id="5"/>
    <w:p w14:paraId="34C44A8B" w14:textId="77777777" w:rsidR="00982D8E" w:rsidRDefault="00982D8E" w:rsidP="00BC644F">
      <w:pPr>
        <w:rPr>
          <w:rFonts w:eastAsia="MS Gothic"/>
          <w:b/>
          <w:bCs/>
          <w:color w:val="003893"/>
          <w:sz w:val="28"/>
          <w:szCs w:val="28"/>
        </w:rPr>
      </w:pPr>
    </w:p>
    <w:p w14:paraId="5B48B85B" w14:textId="77777777" w:rsidR="00BC644F" w:rsidRDefault="00BC644F" w:rsidP="00BC644F">
      <w:pPr>
        <w:pStyle w:val="Heading2"/>
      </w:pPr>
      <w:r>
        <w:t xml:space="preserve">Educational </w:t>
      </w:r>
      <w:r w:rsidR="00F304E8">
        <w:t>r</w:t>
      </w:r>
      <w:r>
        <w:t>equirements</w:t>
      </w:r>
    </w:p>
    <w:p w14:paraId="5B48B85C" w14:textId="77777777" w:rsidR="00BC644F" w:rsidRDefault="00BC644F" w:rsidP="00BC644F">
      <w:pPr>
        <w:rPr>
          <w:rFonts w:cs="Arial"/>
          <w:i/>
          <w:sz w:val="22"/>
          <w:szCs w:val="22"/>
        </w:rPr>
      </w:pPr>
      <w:r w:rsidRPr="00061B03">
        <w:rPr>
          <w:rFonts w:cs="Arial"/>
          <w:i/>
          <w:sz w:val="22"/>
          <w:szCs w:val="22"/>
        </w:rPr>
        <w:t xml:space="preserve">Requirements are set where </w:t>
      </w:r>
      <w:r>
        <w:rPr>
          <w:rFonts w:cs="Arial"/>
          <w:i/>
          <w:sz w:val="22"/>
          <w:szCs w:val="22"/>
        </w:rPr>
        <w:t xml:space="preserve">HEE </w:t>
      </w:r>
      <w:r w:rsidRPr="00061B03">
        <w:rPr>
          <w:rFonts w:cs="Arial"/>
          <w:i/>
          <w:sz w:val="22"/>
          <w:szCs w:val="22"/>
        </w:rPr>
        <w:t xml:space="preserve">have found that </w:t>
      </w:r>
      <w:r>
        <w:rPr>
          <w:rFonts w:cs="Arial"/>
          <w:i/>
          <w:sz w:val="22"/>
          <w:szCs w:val="22"/>
        </w:rPr>
        <w:t xml:space="preserve">standards </w:t>
      </w:r>
      <w:r w:rsidRPr="00061B03">
        <w:rPr>
          <w:rFonts w:cs="Arial"/>
          <w:i/>
          <w:sz w:val="22"/>
          <w:szCs w:val="22"/>
        </w:rPr>
        <w:t xml:space="preserve">are not being </w:t>
      </w:r>
      <w:r w:rsidR="00F304E8" w:rsidRPr="00061B03">
        <w:rPr>
          <w:rFonts w:cs="Arial"/>
          <w:i/>
          <w:sz w:val="22"/>
          <w:szCs w:val="22"/>
        </w:rPr>
        <w:t>met</w:t>
      </w:r>
      <w:r w:rsidR="00F304E8">
        <w:rPr>
          <w:rFonts w:cs="Arial"/>
          <w:i/>
          <w:sz w:val="22"/>
          <w:szCs w:val="22"/>
        </w:rPr>
        <w:t>;</w:t>
      </w:r>
      <w:r>
        <w:rPr>
          <w:rFonts w:cs="Arial"/>
          <w:i/>
          <w:sz w:val="22"/>
          <w:szCs w:val="22"/>
        </w:rPr>
        <w:t xml:space="preserve"> a requirement is an action that is compulsory</w:t>
      </w:r>
      <w:r w:rsidR="00F304E8">
        <w:rPr>
          <w:rFonts w:cs="Arial"/>
          <w:i/>
          <w:sz w:val="22"/>
          <w:szCs w:val="22"/>
        </w:rPr>
        <w:t>.</w:t>
      </w:r>
    </w:p>
    <w:p w14:paraId="5B48B85D" w14:textId="77777777" w:rsidR="00E547EA" w:rsidRDefault="00E547EA" w:rsidP="00BC644F">
      <w:pPr>
        <w:rPr>
          <w:rFonts w:cs="Arial"/>
          <w:i/>
          <w:sz w:val="22"/>
          <w:szCs w:val="22"/>
        </w:rPr>
      </w:pPr>
    </w:p>
    <w:p w14:paraId="5B48B85E" w14:textId="7304112A" w:rsidR="00BC644F" w:rsidRPr="00E2631D" w:rsidRDefault="00BC644F" w:rsidP="00E547EA">
      <w:pPr>
        <w:spacing w:after="120"/>
        <w:rPr>
          <w:rFonts w:cs="Arial"/>
          <w:i/>
          <w:color w:val="FF0000"/>
          <w:sz w:val="20"/>
          <w:szCs w:val="20"/>
        </w:rPr>
      </w:pPr>
    </w:p>
    <w:tbl>
      <w:tblPr>
        <w:tblW w:w="9902"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2405"/>
        <w:gridCol w:w="3253"/>
        <w:gridCol w:w="2971"/>
        <w:gridCol w:w="1273"/>
      </w:tblGrid>
      <w:tr w:rsidR="00BC644F" w:rsidRPr="0017084D" w14:paraId="5B48B861" w14:textId="77777777" w:rsidTr="000200B5">
        <w:trPr>
          <w:trHeight w:val="443"/>
        </w:trPr>
        <w:tc>
          <w:tcPr>
            <w:tcW w:w="8629" w:type="dxa"/>
            <w:gridSpan w:val="3"/>
            <w:shd w:val="clear" w:color="auto" w:fill="C00000"/>
          </w:tcPr>
          <w:p w14:paraId="5B48B85F" w14:textId="77777777" w:rsidR="00BC644F" w:rsidRPr="0017084D" w:rsidRDefault="00BC644F" w:rsidP="00F304E8">
            <w:pPr>
              <w:pStyle w:val="ListNumber"/>
              <w:numPr>
                <w:ilvl w:val="0"/>
                <w:numId w:val="0"/>
              </w:numPr>
              <w:tabs>
                <w:tab w:val="left" w:pos="3402"/>
                <w:tab w:val="left" w:pos="5670"/>
              </w:tabs>
              <w:spacing w:before="40" w:after="40" w:line="240" w:lineRule="auto"/>
              <w:rPr>
                <w:rFonts w:cs="Arial"/>
                <w:b/>
                <w:color w:val="FFFFFF" w:themeColor="background1"/>
                <w:sz w:val="22"/>
                <w:szCs w:val="22"/>
                <w:lang w:eastAsia="en-GB"/>
              </w:rPr>
            </w:pPr>
            <w:r>
              <w:rPr>
                <w:rFonts w:ascii="Arial" w:hAnsi="Arial" w:cs="Arial"/>
                <w:b/>
                <w:color w:val="FFFFFF" w:themeColor="background1"/>
                <w:sz w:val="20"/>
                <w:szCs w:val="20"/>
              </w:rPr>
              <w:t>Were any requirements to improve education identified</w:t>
            </w:r>
            <w:r w:rsidR="00E547EA">
              <w:rPr>
                <w:rFonts w:ascii="Arial" w:hAnsi="Arial" w:cs="Arial"/>
                <w:b/>
                <w:color w:val="FFFFFF" w:themeColor="background1"/>
                <w:sz w:val="20"/>
                <w:szCs w:val="20"/>
              </w:rPr>
              <w:t>?</w:t>
            </w:r>
          </w:p>
        </w:tc>
        <w:tc>
          <w:tcPr>
            <w:tcW w:w="1273" w:type="dxa"/>
            <w:shd w:val="clear" w:color="auto" w:fill="auto"/>
          </w:tcPr>
          <w:p w14:paraId="5B48B860" w14:textId="6E2ED96C" w:rsidR="00BC644F" w:rsidRPr="0017084D" w:rsidRDefault="00BC644F" w:rsidP="00E547EA">
            <w:pPr>
              <w:pStyle w:val="GMCNumbertext"/>
              <w:numPr>
                <w:ilvl w:val="0"/>
                <w:numId w:val="0"/>
              </w:numPr>
              <w:tabs>
                <w:tab w:val="left" w:pos="3402"/>
                <w:tab w:val="left" w:pos="5670"/>
              </w:tabs>
              <w:spacing w:before="40" w:after="40"/>
              <w:jc w:val="center"/>
              <w:rPr>
                <w:rFonts w:ascii="Arial" w:hAnsi="Arial" w:cs="Arial"/>
                <w:b/>
                <w:color w:val="FFFFFF" w:themeColor="background1"/>
                <w:sz w:val="22"/>
                <w:szCs w:val="22"/>
                <w:lang w:eastAsia="en-GB"/>
              </w:rPr>
            </w:pPr>
            <w:r>
              <w:rPr>
                <w:rFonts w:ascii="Arial" w:hAnsi="Arial" w:cs="Arial"/>
                <w:b/>
                <w:sz w:val="20"/>
                <w:szCs w:val="20"/>
              </w:rPr>
              <w:t xml:space="preserve">YES </w:t>
            </w:r>
          </w:p>
        </w:tc>
      </w:tr>
      <w:tr w:rsidR="00CD2EEF" w:rsidRPr="0017084D" w14:paraId="5B48B865" w14:textId="77777777" w:rsidTr="000200B5">
        <w:trPr>
          <w:trHeight w:val="438"/>
        </w:trPr>
        <w:tc>
          <w:tcPr>
            <w:tcW w:w="2405" w:type="dxa"/>
            <w:tcBorders>
              <w:bottom w:val="nil"/>
            </w:tcBorders>
            <w:shd w:val="clear" w:color="auto" w:fill="C00000"/>
            <w:vAlign w:val="center"/>
          </w:tcPr>
          <w:p w14:paraId="5B48B862" w14:textId="77777777" w:rsidR="00BC644F" w:rsidRPr="00E547EA" w:rsidRDefault="00BC644F" w:rsidP="00E547EA">
            <w:pPr>
              <w:pStyle w:val="GMCNumbertext"/>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r w:rsidRPr="00E547EA">
              <w:rPr>
                <w:rFonts w:ascii="Arial" w:hAnsi="Arial" w:cs="Arial"/>
                <w:b/>
                <w:color w:val="FFFFFF" w:themeColor="background1"/>
                <w:sz w:val="20"/>
                <w:szCs w:val="20"/>
                <w:lang w:eastAsia="en-GB"/>
              </w:rPr>
              <w:t>Reference</w:t>
            </w:r>
            <w:r w:rsidR="00E547EA">
              <w:rPr>
                <w:rFonts w:ascii="Arial" w:hAnsi="Arial" w:cs="Arial"/>
                <w:b/>
                <w:color w:val="FFFFFF" w:themeColor="background1"/>
                <w:sz w:val="20"/>
                <w:szCs w:val="20"/>
                <w:lang w:eastAsia="en-GB"/>
              </w:rPr>
              <w:t xml:space="preserve"> no.</w:t>
            </w:r>
          </w:p>
        </w:tc>
        <w:tc>
          <w:tcPr>
            <w:tcW w:w="3253" w:type="dxa"/>
            <w:tcBorders>
              <w:bottom w:val="nil"/>
            </w:tcBorders>
            <w:shd w:val="clear" w:color="auto" w:fill="C00000"/>
            <w:vAlign w:val="center"/>
          </w:tcPr>
          <w:p w14:paraId="5B48B863" w14:textId="77777777" w:rsidR="00BC644F" w:rsidRPr="00E547EA" w:rsidRDefault="00BC644F" w:rsidP="00E547EA">
            <w:pPr>
              <w:pStyle w:val="ListNumber"/>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r w:rsidRPr="00E547EA">
              <w:rPr>
                <w:rFonts w:ascii="Arial" w:hAnsi="Arial" w:cs="Arial"/>
                <w:b/>
                <w:color w:val="FFFFFF" w:themeColor="background1"/>
                <w:sz w:val="20"/>
                <w:szCs w:val="20"/>
                <w:lang w:eastAsia="en-GB"/>
              </w:rPr>
              <w:t>Programme</w:t>
            </w:r>
            <w:r w:rsidR="00E547EA">
              <w:rPr>
                <w:rFonts w:ascii="Arial" w:hAnsi="Arial" w:cs="Arial"/>
                <w:b/>
                <w:color w:val="FFFFFF" w:themeColor="background1"/>
                <w:sz w:val="20"/>
                <w:szCs w:val="20"/>
                <w:lang w:eastAsia="en-GB"/>
              </w:rPr>
              <w:t xml:space="preserve"> / s</w:t>
            </w:r>
            <w:r w:rsidRPr="00E547EA">
              <w:rPr>
                <w:rFonts w:ascii="Arial" w:hAnsi="Arial" w:cs="Arial"/>
                <w:b/>
                <w:color w:val="FFFFFF" w:themeColor="background1"/>
                <w:sz w:val="20"/>
                <w:szCs w:val="20"/>
                <w:lang w:eastAsia="en-GB"/>
              </w:rPr>
              <w:t>pecialty:</w:t>
            </w:r>
          </w:p>
        </w:tc>
        <w:tc>
          <w:tcPr>
            <w:tcW w:w="4244" w:type="dxa"/>
            <w:gridSpan w:val="2"/>
            <w:tcBorders>
              <w:bottom w:val="nil"/>
            </w:tcBorders>
            <w:shd w:val="clear" w:color="auto" w:fill="C00000"/>
            <w:vAlign w:val="center"/>
          </w:tcPr>
          <w:p w14:paraId="5B48B864" w14:textId="77777777" w:rsidR="00BC644F" w:rsidRPr="00E547EA" w:rsidRDefault="00E547EA" w:rsidP="00E547EA">
            <w:pPr>
              <w:pStyle w:val="GMCNumbertext"/>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Learner / professional g</w:t>
            </w:r>
            <w:r w:rsidR="00BC644F" w:rsidRPr="00E547EA">
              <w:rPr>
                <w:rFonts w:ascii="Arial" w:hAnsi="Arial" w:cs="Arial"/>
                <w:b/>
                <w:color w:val="FFFFFF" w:themeColor="background1"/>
                <w:sz w:val="20"/>
                <w:szCs w:val="20"/>
                <w:lang w:eastAsia="en-GB"/>
              </w:rPr>
              <w:t>roup:</w:t>
            </w:r>
          </w:p>
        </w:tc>
      </w:tr>
      <w:tr w:rsidR="00E547EA" w:rsidRPr="00A7049F" w14:paraId="5B48B869" w14:textId="77777777" w:rsidTr="000200B5">
        <w:trPr>
          <w:trHeight w:val="343"/>
        </w:trPr>
        <w:tc>
          <w:tcPr>
            <w:tcW w:w="2405" w:type="dxa"/>
            <w:tcBorders>
              <w:top w:val="nil"/>
              <w:bottom w:val="single" w:sz="4" w:space="0" w:color="C00000"/>
              <w:right w:val="single" w:sz="4" w:space="0" w:color="C00000"/>
            </w:tcBorders>
            <w:shd w:val="clear" w:color="auto" w:fill="auto"/>
            <w:vAlign w:val="center"/>
          </w:tcPr>
          <w:p w14:paraId="5B48B866" w14:textId="4C1537C8" w:rsidR="00BC644F" w:rsidRPr="00E547EA" w:rsidRDefault="00BC644F" w:rsidP="00E2631D">
            <w:pPr>
              <w:pStyle w:val="ListNumber"/>
              <w:numPr>
                <w:ilvl w:val="0"/>
                <w:numId w:val="0"/>
              </w:numPr>
              <w:tabs>
                <w:tab w:val="left" w:pos="3402"/>
                <w:tab w:val="left" w:pos="5670"/>
              </w:tabs>
              <w:spacing w:before="40" w:after="40" w:line="240" w:lineRule="auto"/>
              <w:rPr>
                <w:rFonts w:ascii="Arial" w:hAnsi="Arial" w:cs="Arial"/>
                <w:i/>
                <w:color w:val="auto"/>
                <w:sz w:val="20"/>
                <w:szCs w:val="20"/>
                <w:lang w:eastAsia="en-GB"/>
              </w:rPr>
            </w:pPr>
          </w:p>
        </w:tc>
        <w:tc>
          <w:tcPr>
            <w:tcW w:w="3253" w:type="dxa"/>
            <w:tcBorders>
              <w:top w:val="nil"/>
              <w:left w:val="single" w:sz="4" w:space="0" w:color="C00000"/>
              <w:bottom w:val="single" w:sz="4" w:space="0" w:color="C00000"/>
              <w:right w:val="single" w:sz="4" w:space="0" w:color="C00000"/>
            </w:tcBorders>
            <w:shd w:val="clear" w:color="auto" w:fill="auto"/>
            <w:vAlign w:val="center"/>
          </w:tcPr>
          <w:p w14:paraId="5B48B867" w14:textId="06A18128" w:rsidR="00BC644F" w:rsidRPr="00E547EA" w:rsidRDefault="00B9265E" w:rsidP="00F304E8">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Radiography</w:t>
            </w:r>
          </w:p>
        </w:tc>
        <w:tc>
          <w:tcPr>
            <w:tcW w:w="4244" w:type="dxa"/>
            <w:gridSpan w:val="2"/>
            <w:tcBorders>
              <w:top w:val="nil"/>
              <w:left w:val="single" w:sz="4" w:space="0" w:color="C00000"/>
              <w:bottom w:val="single" w:sz="4" w:space="0" w:color="C00000"/>
            </w:tcBorders>
            <w:shd w:val="clear" w:color="auto" w:fill="auto"/>
            <w:vAlign w:val="center"/>
          </w:tcPr>
          <w:p w14:paraId="5B48B868" w14:textId="09F26232" w:rsidR="00BC644F" w:rsidRPr="00E547EA" w:rsidRDefault="00B9265E" w:rsidP="00F304E8">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Radiograp</w:t>
            </w:r>
            <w:r w:rsidR="00413208">
              <w:rPr>
                <w:rFonts w:eastAsia="Times New Roman" w:cs="Arial"/>
                <w:i/>
                <w:sz w:val="20"/>
                <w:szCs w:val="20"/>
                <w:lang w:eastAsia="en-GB"/>
              </w:rPr>
              <w:t>hy learners</w:t>
            </w:r>
          </w:p>
        </w:tc>
      </w:tr>
      <w:tr w:rsidR="00BC644F" w:rsidRPr="00A7049F" w14:paraId="5B48B86C" w14:textId="77777777" w:rsidTr="000200B5">
        <w:trPr>
          <w:trHeight w:val="597"/>
        </w:trPr>
        <w:tc>
          <w:tcPr>
            <w:tcW w:w="2405" w:type="dxa"/>
            <w:tcBorders>
              <w:top w:val="single" w:sz="4" w:space="0" w:color="C00000"/>
            </w:tcBorders>
            <w:shd w:val="clear" w:color="auto" w:fill="C00000"/>
            <w:vAlign w:val="center"/>
          </w:tcPr>
          <w:p w14:paraId="5B48B86A" w14:textId="77777777" w:rsidR="00BC644F" w:rsidRPr="00E547EA" w:rsidRDefault="00E547EA" w:rsidP="00E547EA">
            <w:pPr>
              <w:pStyle w:val="ListNumber"/>
              <w:numPr>
                <w:ilvl w:val="0"/>
                <w:numId w:val="0"/>
              </w:numPr>
              <w:tabs>
                <w:tab w:val="left" w:pos="3402"/>
                <w:tab w:val="left" w:pos="5670"/>
              </w:tabs>
              <w:spacing w:before="40" w:after="40" w:line="240" w:lineRule="auto"/>
              <w:jc w:val="right"/>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Related Domain</w:t>
            </w:r>
            <w:r w:rsidR="00CD2EEF">
              <w:rPr>
                <w:rFonts w:ascii="Arial" w:hAnsi="Arial" w:cs="Arial"/>
                <w:b/>
                <w:color w:val="FFFFFF" w:themeColor="background1"/>
                <w:sz w:val="20"/>
                <w:szCs w:val="20"/>
                <w:lang w:eastAsia="en-GB"/>
              </w:rPr>
              <w:t>(s)</w:t>
            </w:r>
            <w:r>
              <w:rPr>
                <w:rFonts w:ascii="Arial" w:hAnsi="Arial" w:cs="Arial"/>
                <w:b/>
                <w:color w:val="FFFFFF" w:themeColor="background1"/>
                <w:sz w:val="20"/>
                <w:szCs w:val="20"/>
                <w:lang w:eastAsia="en-GB"/>
              </w:rPr>
              <w:t xml:space="preserve"> &amp; Standard(s)</w:t>
            </w:r>
          </w:p>
        </w:tc>
        <w:tc>
          <w:tcPr>
            <w:tcW w:w="7497" w:type="dxa"/>
            <w:gridSpan w:val="3"/>
            <w:tcBorders>
              <w:top w:val="single" w:sz="4" w:space="0" w:color="C00000"/>
              <w:bottom w:val="single" w:sz="4" w:space="0" w:color="C00000"/>
            </w:tcBorders>
            <w:shd w:val="clear" w:color="auto" w:fill="auto"/>
            <w:vAlign w:val="center"/>
          </w:tcPr>
          <w:p w14:paraId="5B48B86B" w14:textId="18A74CAB" w:rsidR="00BC644F" w:rsidRPr="00E547EA" w:rsidRDefault="003478BE" w:rsidP="00F304E8">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 xml:space="preserve">Domain </w:t>
            </w:r>
            <w:r w:rsidR="00864643">
              <w:rPr>
                <w:rFonts w:eastAsia="Times New Roman" w:cs="Arial"/>
                <w:i/>
                <w:sz w:val="20"/>
                <w:szCs w:val="20"/>
                <w:lang w:eastAsia="en-GB"/>
              </w:rPr>
              <w:t>1,2,5</w:t>
            </w:r>
          </w:p>
        </w:tc>
      </w:tr>
      <w:tr w:rsidR="00BC644F" w:rsidRPr="00CF60D1" w14:paraId="5B48B86F" w14:textId="77777777" w:rsidTr="000200B5">
        <w:trPr>
          <w:trHeight w:val="343"/>
        </w:trPr>
        <w:tc>
          <w:tcPr>
            <w:tcW w:w="2405" w:type="dxa"/>
            <w:shd w:val="clear" w:color="auto" w:fill="C00000"/>
            <w:vAlign w:val="center"/>
          </w:tcPr>
          <w:p w14:paraId="5B48B86D" w14:textId="77777777" w:rsidR="00BC644F" w:rsidRPr="00E547EA" w:rsidRDefault="00BC644F" w:rsidP="00E547EA">
            <w:pPr>
              <w:pStyle w:val="ListNumber"/>
              <w:numPr>
                <w:ilvl w:val="0"/>
                <w:numId w:val="0"/>
              </w:numPr>
              <w:tabs>
                <w:tab w:val="left" w:pos="3402"/>
                <w:tab w:val="left" w:pos="5670"/>
              </w:tabs>
              <w:spacing w:before="40" w:after="40" w:line="240" w:lineRule="auto"/>
              <w:jc w:val="right"/>
              <w:rPr>
                <w:rFonts w:ascii="Arial" w:hAnsi="Arial" w:cs="Arial"/>
                <w:b/>
                <w:color w:val="FFFFFF" w:themeColor="background1"/>
                <w:sz w:val="20"/>
                <w:szCs w:val="20"/>
                <w:lang w:eastAsia="en-GB"/>
              </w:rPr>
            </w:pPr>
            <w:r w:rsidRPr="00E547EA">
              <w:rPr>
                <w:rFonts w:ascii="Arial" w:hAnsi="Arial" w:cs="Arial"/>
                <w:b/>
                <w:color w:val="FFFFFF" w:themeColor="background1"/>
                <w:sz w:val="20"/>
                <w:szCs w:val="20"/>
                <w:lang w:eastAsia="en-GB"/>
              </w:rPr>
              <w:t>Summary of findings</w:t>
            </w:r>
          </w:p>
        </w:tc>
        <w:tc>
          <w:tcPr>
            <w:tcW w:w="7497" w:type="dxa"/>
            <w:gridSpan w:val="3"/>
            <w:tcBorders>
              <w:top w:val="single" w:sz="4" w:space="0" w:color="C00000"/>
              <w:bottom w:val="single" w:sz="4" w:space="0" w:color="C00000"/>
            </w:tcBorders>
            <w:shd w:val="clear" w:color="auto" w:fill="auto"/>
            <w:vAlign w:val="center"/>
          </w:tcPr>
          <w:p w14:paraId="5B48B86E" w14:textId="2165B041" w:rsidR="006A194E" w:rsidRPr="00E547EA" w:rsidRDefault="002938BB" w:rsidP="000E741E">
            <w:pPr>
              <w:tabs>
                <w:tab w:val="left" w:pos="3402"/>
                <w:tab w:val="left" w:pos="5670"/>
              </w:tabs>
              <w:spacing w:before="40" w:after="40"/>
              <w:jc w:val="both"/>
              <w:rPr>
                <w:rFonts w:eastAsia="Times New Roman" w:cs="Arial"/>
                <w:sz w:val="20"/>
                <w:szCs w:val="20"/>
                <w:lang w:eastAsia="en-GB"/>
              </w:rPr>
            </w:pPr>
            <w:r>
              <w:rPr>
                <w:rFonts w:eastAsia="Times New Roman" w:cs="Arial"/>
                <w:sz w:val="20"/>
                <w:szCs w:val="20"/>
                <w:lang w:eastAsia="en-GB"/>
              </w:rPr>
              <w:t>Ensure numbers in the department allow a good quality learning environment</w:t>
            </w:r>
          </w:p>
        </w:tc>
      </w:tr>
      <w:tr w:rsidR="00BC644F" w:rsidRPr="00CF60D1" w14:paraId="5B48B873" w14:textId="77777777" w:rsidTr="000200B5">
        <w:trPr>
          <w:trHeight w:val="597"/>
        </w:trPr>
        <w:tc>
          <w:tcPr>
            <w:tcW w:w="2405" w:type="dxa"/>
            <w:shd w:val="clear" w:color="auto" w:fill="C00000"/>
            <w:vAlign w:val="center"/>
          </w:tcPr>
          <w:p w14:paraId="5B48B870" w14:textId="77777777" w:rsidR="00BC644F" w:rsidRPr="00E547EA" w:rsidRDefault="00E547EA" w:rsidP="00E547EA">
            <w:pPr>
              <w:pStyle w:val="ListNumber"/>
              <w:numPr>
                <w:ilvl w:val="0"/>
                <w:numId w:val="0"/>
              </w:numPr>
              <w:tabs>
                <w:tab w:val="left" w:pos="3402"/>
                <w:tab w:val="left" w:pos="5670"/>
              </w:tabs>
              <w:spacing w:before="40" w:after="40" w:line="240" w:lineRule="auto"/>
              <w:jc w:val="right"/>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Required a</w:t>
            </w:r>
            <w:r w:rsidR="00BC644F" w:rsidRPr="00E547EA">
              <w:rPr>
                <w:rFonts w:ascii="Arial" w:hAnsi="Arial" w:cs="Arial"/>
                <w:b/>
                <w:color w:val="FFFFFF" w:themeColor="background1"/>
                <w:sz w:val="20"/>
                <w:szCs w:val="20"/>
                <w:lang w:eastAsia="en-GB"/>
              </w:rPr>
              <w:t>ction</w:t>
            </w:r>
          </w:p>
        </w:tc>
        <w:tc>
          <w:tcPr>
            <w:tcW w:w="7497" w:type="dxa"/>
            <w:gridSpan w:val="3"/>
            <w:tcBorders>
              <w:top w:val="single" w:sz="4" w:space="0" w:color="C00000"/>
              <w:bottom w:val="single" w:sz="4" w:space="0" w:color="C00000"/>
            </w:tcBorders>
            <w:shd w:val="clear" w:color="auto" w:fill="auto"/>
            <w:vAlign w:val="center"/>
          </w:tcPr>
          <w:p w14:paraId="5B48B872" w14:textId="752338C2" w:rsidR="00E547EA" w:rsidRPr="00E547EA" w:rsidRDefault="002938BB" w:rsidP="00E547EA">
            <w:pPr>
              <w:tabs>
                <w:tab w:val="left" w:pos="3402"/>
                <w:tab w:val="left" w:pos="5670"/>
              </w:tabs>
              <w:spacing w:before="40" w:after="40"/>
              <w:jc w:val="both"/>
              <w:rPr>
                <w:rFonts w:eastAsia="Times New Roman" w:cs="Arial"/>
                <w:sz w:val="20"/>
                <w:szCs w:val="20"/>
                <w:lang w:eastAsia="en-GB"/>
              </w:rPr>
            </w:pPr>
            <w:r>
              <w:rPr>
                <w:rFonts w:eastAsia="Times New Roman" w:cs="Arial"/>
                <w:sz w:val="20"/>
                <w:szCs w:val="20"/>
                <w:lang w:eastAsia="en-GB"/>
              </w:rPr>
              <w:t>Agree placement numbers</w:t>
            </w:r>
            <w:r w:rsidR="00D10EBB">
              <w:rPr>
                <w:rFonts w:eastAsia="Times New Roman" w:cs="Arial"/>
                <w:sz w:val="20"/>
                <w:szCs w:val="20"/>
                <w:lang w:eastAsia="en-GB"/>
              </w:rPr>
              <w:t xml:space="preserve"> in sufficient time for learners and department to </w:t>
            </w:r>
            <w:r w:rsidR="003478BE">
              <w:rPr>
                <w:rFonts w:eastAsia="Times New Roman" w:cs="Arial"/>
                <w:sz w:val="20"/>
                <w:szCs w:val="20"/>
                <w:lang w:eastAsia="en-GB"/>
              </w:rPr>
              <w:t>maximise the learning potential</w:t>
            </w:r>
          </w:p>
        </w:tc>
      </w:tr>
    </w:tbl>
    <w:p w14:paraId="30D952CC" w14:textId="4DE883C3" w:rsidR="00864643" w:rsidRDefault="00864643" w:rsidP="00BC644F">
      <w:pPr>
        <w:pStyle w:val="Heading2"/>
      </w:pPr>
      <w:r>
        <w:br/>
      </w:r>
      <w:r>
        <w:br/>
      </w:r>
      <w:r w:rsidR="00071846">
        <w:br/>
      </w:r>
      <w:r w:rsidR="00071846">
        <w:br/>
      </w:r>
    </w:p>
    <w:tbl>
      <w:tblPr>
        <w:tblW w:w="9923"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2410"/>
        <w:gridCol w:w="3260"/>
        <w:gridCol w:w="2977"/>
        <w:gridCol w:w="1276"/>
      </w:tblGrid>
      <w:tr w:rsidR="00864643" w:rsidRPr="0017084D" w14:paraId="3C236384" w14:textId="77777777" w:rsidTr="004133C7">
        <w:trPr>
          <w:trHeight w:val="422"/>
        </w:trPr>
        <w:tc>
          <w:tcPr>
            <w:tcW w:w="8647" w:type="dxa"/>
            <w:gridSpan w:val="3"/>
            <w:shd w:val="clear" w:color="auto" w:fill="C00000"/>
          </w:tcPr>
          <w:p w14:paraId="1C4A217F" w14:textId="77777777" w:rsidR="00864643" w:rsidRPr="0017084D" w:rsidRDefault="00864643" w:rsidP="004133C7">
            <w:pPr>
              <w:pStyle w:val="ListNumber"/>
              <w:numPr>
                <w:ilvl w:val="0"/>
                <w:numId w:val="0"/>
              </w:numPr>
              <w:tabs>
                <w:tab w:val="left" w:pos="3402"/>
                <w:tab w:val="left" w:pos="5670"/>
              </w:tabs>
              <w:spacing w:before="40" w:after="40" w:line="240" w:lineRule="auto"/>
              <w:rPr>
                <w:rFonts w:cs="Arial"/>
                <w:b/>
                <w:color w:val="FFFFFF" w:themeColor="background1"/>
                <w:sz w:val="22"/>
                <w:szCs w:val="22"/>
                <w:lang w:eastAsia="en-GB"/>
              </w:rPr>
            </w:pPr>
            <w:r>
              <w:rPr>
                <w:rFonts w:ascii="Arial" w:hAnsi="Arial" w:cs="Arial"/>
                <w:b/>
                <w:color w:val="FFFFFF" w:themeColor="background1"/>
                <w:sz w:val="20"/>
                <w:szCs w:val="20"/>
              </w:rPr>
              <w:t>Were any requirements to improve education identified?</w:t>
            </w:r>
          </w:p>
        </w:tc>
        <w:tc>
          <w:tcPr>
            <w:tcW w:w="1276" w:type="dxa"/>
            <w:shd w:val="clear" w:color="auto" w:fill="auto"/>
          </w:tcPr>
          <w:p w14:paraId="62F3C041" w14:textId="77777777" w:rsidR="00864643" w:rsidRPr="0017084D" w:rsidRDefault="00864643" w:rsidP="004133C7">
            <w:pPr>
              <w:pStyle w:val="GMCNumbertext"/>
              <w:numPr>
                <w:ilvl w:val="0"/>
                <w:numId w:val="0"/>
              </w:numPr>
              <w:tabs>
                <w:tab w:val="left" w:pos="3402"/>
                <w:tab w:val="left" w:pos="5670"/>
              </w:tabs>
              <w:spacing w:before="40" w:after="40"/>
              <w:jc w:val="center"/>
              <w:rPr>
                <w:rFonts w:ascii="Arial" w:hAnsi="Arial" w:cs="Arial"/>
                <w:b/>
                <w:color w:val="FFFFFF" w:themeColor="background1"/>
                <w:sz w:val="22"/>
                <w:szCs w:val="22"/>
                <w:lang w:eastAsia="en-GB"/>
              </w:rPr>
            </w:pPr>
            <w:r>
              <w:rPr>
                <w:rFonts w:ascii="Arial" w:hAnsi="Arial" w:cs="Arial"/>
                <w:b/>
                <w:sz w:val="20"/>
                <w:szCs w:val="20"/>
              </w:rPr>
              <w:t xml:space="preserve">YES </w:t>
            </w:r>
          </w:p>
        </w:tc>
      </w:tr>
      <w:tr w:rsidR="00864643" w:rsidRPr="0017084D" w14:paraId="2505D2D0" w14:textId="77777777" w:rsidTr="004133C7">
        <w:trPr>
          <w:trHeight w:val="418"/>
        </w:trPr>
        <w:tc>
          <w:tcPr>
            <w:tcW w:w="2410" w:type="dxa"/>
            <w:tcBorders>
              <w:bottom w:val="nil"/>
            </w:tcBorders>
            <w:shd w:val="clear" w:color="auto" w:fill="C00000"/>
            <w:vAlign w:val="center"/>
          </w:tcPr>
          <w:p w14:paraId="34AD99FE" w14:textId="77777777" w:rsidR="00864643" w:rsidRPr="00E547EA" w:rsidRDefault="00864643" w:rsidP="004133C7">
            <w:pPr>
              <w:pStyle w:val="GMCNumbertext"/>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r w:rsidRPr="00E547EA">
              <w:rPr>
                <w:rFonts w:ascii="Arial" w:hAnsi="Arial" w:cs="Arial"/>
                <w:b/>
                <w:color w:val="FFFFFF" w:themeColor="background1"/>
                <w:sz w:val="20"/>
                <w:szCs w:val="20"/>
                <w:lang w:eastAsia="en-GB"/>
              </w:rPr>
              <w:t>Reference</w:t>
            </w:r>
            <w:r>
              <w:rPr>
                <w:rFonts w:ascii="Arial" w:hAnsi="Arial" w:cs="Arial"/>
                <w:b/>
                <w:color w:val="FFFFFF" w:themeColor="background1"/>
                <w:sz w:val="20"/>
                <w:szCs w:val="20"/>
                <w:lang w:eastAsia="en-GB"/>
              </w:rPr>
              <w:t xml:space="preserve"> no.</w:t>
            </w:r>
          </w:p>
        </w:tc>
        <w:tc>
          <w:tcPr>
            <w:tcW w:w="3260" w:type="dxa"/>
            <w:tcBorders>
              <w:bottom w:val="nil"/>
            </w:tcBorders>
            <w:shd w:val="clear" w:color="auto" w:fill="C00000"/>
            <w:vAlign w:val="center"/>
          </w:tcPr>
          <w:p w14:paraId="02F9735A" w14:textId="77777777" w:rsidR="00864643" w:rsidRPr="00E547EA" w:rsidRDefault="00864643" w:rsidP="004133C7">
            <w:pPr>
              <w:pStyle w:val="ListNumber"/>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r w:rsidRPr="00E547EA">
              <w:rPr>
                <w:rFonts w:ascii="Arial" w:hAnsi="Arial" w:cs="Arial"/>
                <w:b/>
                <w:color w:val="FFFFFF" w:themeColor="background1"/>
                <w:sz w:val="20"/>
                <w:szCs w:val="20"/>
                <w:lang w:eastAsia="en-GB"/>
              </w:rPr>
              <w:t>Programme</w:t>
            </w:r>
            <w:r>
              <w:rPr>
                <w:rFonts w:ascii="Arial" w:hAnsi="Arial" w:cs="Arial"/>
                <w:b/>
                <w:color w:val="FFFFFF" w:themeColor="background1"/>
                <w:sz w:val="20"/>
                <w:szCs w:val="20"/>
                <w:lang w:eastAsia="en-GB"/>
              </w:rPr>
              <w:t xml:space="preserve"> / s</w:t>
            </w:r>
            <w:r w:rsidRPr="00E547EA">
              <w:rPr>
                <w:rFonts w:ascii="Arial" w:hAnsi="Arial" w:cs="Arial"/>
                <w:b/>
                <w:color w:val="FFFFFF" w:themeColor="background1"/>
                <w:sz w:val="20"/>
                <w:szCs w:val="20"/>
                <w:lang w:eastAsia="en-GB"/>
              </w:rPr>
              <w:t>pecialty:</w:t>
            </w:r>
          </w:p>
        </w:tc>
        <w:tc>
          <w:tcPr>
            <w:tcW w:w="4253" w:type="dxa"/>
            <w:gridSpan w:val="2"/>
            <w:tcBorders>
              <w:bottom w:val="nil"/>
            </w:tcBorders>
            <w:shd w:val="clear" w:color="auto" w:fill="C00000"/>
            <w:vAlign w:val="center"/>
          </w:tcPr>
          <w:p w14:paraId="36CB0183" w14:textId="77777777" w:rsidR="00864643" w:rsidRPr="00E547EA" w:rsidRDefault="00864643" w:rsidP="004133C7">
            <w:pPr>
              <w:pStyle w:val="GMCNumbertext"/>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Learner / professional g</w:t>
            </w:r>
            <w:r w:rsidRPr="00E547EA">
              <w:rPr>
                <w:rFonts w:ascii="Arial" w:hAnsi="Arial" w:cs="Arial"/>
                <w:b/>
                <w:color w:val="FFFFFF" w:themeColor="background1"/>
                <w:sz w:val="20"/>
                <w:szCs w:val="20"/>
                <w:lang w:eastAsia="en-GB"/>
              </w:rPr>
              <w:t>roup:</w:t>
            </w:r>
          </w:p>
        </w:tc>
      </w:tr>
      <w:tr w:rsidR="00864643" w:rsidRPr="00A7049F" w14:paraId="4C5637F3" w14:textId="77777777" w:rsidTr="004133C7">
        <w:trPr>
          <w:trHeight w:val="327"/>
        </w:trPr>
        <w:tc>
          <w:tcPr>
            <w:tcW w:w="2410" w:type="dxa"/>
            <w:tcBorders>
              <w:top w:val="nil"/>
              <w:bottom w:val="single" w:sz="4" w:space="0" w:color="C00000"/>
              <w:right w:val="single" w:sz="4" w:space="0" w:color="C00000"/>
            </w:tcBorders>
            <w:shd w:val="clear" w:color="auto" w:fill="auto"/>
            <w:vAlign w:val="center"/>
          </w:tcPr>
          <w:p w14:paraId="6B754655" w14:textId="77777777" w:rsidR="00864643" w:rsidRPr="00E547EA" w:rsidRDefault="00864643" w:rsidP="004133C7">
            <w:pPr>
              <w:pStyle w:val="ListNumber"/>
              <w:numPr>
                <w:ilvl w:val="0"/>
                <w:numId w:val="0"/>
              </w:numPr>
              <w:tabs>
                <w:tab w:val="left" w:pos="3402"/>
                <w:tab w:val="left" w:pos="5670"/>
              </w:tabs>
              <w:spacing w:before="40" w:after="40" w:line="240" w:lineRule="auto"/>
              <w:rPr>
                <w:rFonts w:ascii="Arial" w:hAnsi="Arial" w:cs="Arial"/>
                <w:i/>
                <w:color w:val="auto"/>
                <w:sz w:val="20"/>
                <w:szCs w:val="20"/>
                <w:lang w:eastAsia="en-GB"/>
              </w:rPr>
            </w:pPr>
          </w:p>
        </w:tc>
        <w:tc>
          <w:tcPr>
            <w:tcW w:w="3260" w:type="dxa"/>
            <w:tcBorders>
              <w:top w:val="nil"/>
              <w:left w:val="single" w:sz="4" w:space="0" w:color="C00000"/>
              <w:bottom w:val="single" w:sz="4" w:space="0" w:color="C00000"/>
              <w:right w:val="single" w:sz="4" w:space="0" w:color="C00000"/>
            </w:tcBorders>
            <w:shd w:val="clear" w:color="auto" w:fill="auto"/>
            <w:vAlign w:val="center"/>
          </w:tcPr>
          <w:p w14:paraId="0D1823BE" w14:textId="77777777" w:rsidR="00864643" w:rsidRPr="00E547EA" w:rsidRDefault="00864643" w:rsidP="004133C7">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Radiography</w:t>
            </w:r>
          </w:p>
        </w:tc>
        <w:tc>
          <w:tcPr>
            <w:tcW w:w="4253" w:type="dxa"/>
            <w:gridSpan w:val="2"/>
            <w:tcBorders>
              <w:top w:val="nil"/>
              <w:left w:val="single" w:sz="4" w:space="0" w:color="C00000"/>
              <w:bottom w:val="single" w:sz="4" w:space="0" w:color="C00000"/>
            </w:tcBorders>
            <w:shd w:val="clear" w:color="auto" w:fill="auto"/>
            <w:vAlign w:val="center"/>
          </w:tcPr>
          <w:p w14:paraId="721FE30C" w14:textId="77777777" w:rsidR="00864643" w:rsidRPr="00E547EA" w:rsidRDefault="00864643" w:rsidP="004133C7">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Radiography learners</w:t>
            </w:r>
          </w:p>
        </w:tc>
      </w:tr>
      <w:tr w:rsidR="00864643" w:rsidRPr="00A7049F" w14:paraId="29207DFC" w14:textId="77777777" w:rsidTr="004133C7">
        <w:trPr>
          <w:trHeight w:val="569"/>
        </w:trPr>
        <w:tc>
          <w:tcPr>
            <w:tcW w:w="2410" w:type="dxa"/>
            <w:tcBorders>
              <w:top w:val="single" w:sz="4" w:space="0" w:color="C00000"/>
            </w:tcBorders>
            <w:shd w:val="clear" w:color="auto" w:fill="C00000"/>
            <w:vAlign w:val="center"/>
          </w:tcPr>
          <w:p w14:paraId="22AD3108" w14:textId="77777777" w:rsidR="00864643" w:rsidRPr="00E547EA" w:rsidRDefault="00864643" w:rsidP="004133C7">
            <w:pPr>
              <w:pStyle w:val="ListNumber"/>
              <w:numPr>
                <w:ilvl w:val="0"/>
                <w:numId w:val="0"/>
              </w:numPr>
              <w:tabs>
                <w:tab w:val="left" w:pos="3402"/>
                <w:tab w:val="left" w:pos="5670"/>
              </w:tabs>
              <w:spacing w:before="40" w:after="40" w:line="240" w:lineRule="auto"/>
              <w:jc w:val="right"/>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Related Domain(s) &amp; Standard(s)</w:t>
            </w:r>
          </w:p>
        </w:tc>
        <w:tc>
          <w:tcPr>
            <w:tcW w:w="7513" w:type="dxa"/>
            <w:gridSpan w:val="3"/>
            <w:tcBorders>
              <w:top w:val="single" w:sz="4" w:space="0" w:color="C00000"/>
              <w:bottom w:val="single" w:sz="4" w:space="0" w:color="C00000"/>
            </w:tcBorders>
            <w:shd w:val="clear" w:color="auto" w:fill="auto"/>
            <w:vAlign w:val="center"/>
          </w:tcPr>
          <w:p w14:paraId="693ECBE2" w14:textId="6C9A8532" w:rsidR="00864643" w:rsidRPr="00E547EA" w:rsidRDefault="00864643" w:rsidP="004133C7">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Domain 1,2</w:t>
            </w:r>
          </w:p>
        </w:tc>
      </w:tr>
      <w:tr w:rsidR="00864643" w:rsidRPr="00CF60D1" w14:paraId="0B64495F" w14:textId="77777777" w:rsidTr="004133C7">
        <w:trPr>
          <w:trHeight w:val="327"/>
        </w:trPr>
        <w:tc>
          <w:tcPr>
            <w:tcW w:w="2410" w:type="dxa"/>
            <w:shd w:val="clear" w:color="auto" w:fill="C00000"/>
            <w:vAlign w:val="center"/>
          </w:tcPr>
          <w:p w14:paraId="5E8E0110" w14:textId="77777777" w:rsidR="00864643" w:rsidRPr="00E547EA" w:rsidRDefault="00864643" w:rsidP="004133C7">
            <w:pPr>
              <w:pStyle w:val="ListNumber"/>
              <w:numPr>
                <w:ilvl w:val="0"/>
                <w:numId w:val="0"/>
              </w:numPr>
              <w:tabs>
                <w:tab w:val="left" w:pos="3402"/>
                <w:tab w:val="left" w:pos="5670"/>
              </w:tabs>
              <w:spacing w:before="40" w:after="40" w:line="240" w:lineRule="auto"/>
              <w:jc w:val="right"/>
              <w:rPr>
                <w:rFonts w:ascii="Arial" w:hAnsi="Arial" w:cs="Arial"/>
                <w:b/>
                <w:color w:val="FFFFFF" w:themeColor="background1"/>
                <w:sz w:val="20"/>
                <w:szCs w:val="20"/>
                <w:lang w:eastAsia="en-GB"/>
              </w:rPr>
            </w:pPr>
            <w:r w:rsidRPr="00E547EA">
              <w:rPr>
                <w:rFonts w:ascii="Arial" w:hAnsi="Arial" w:cs="Arial"/>
                <w:b/>
                <w:color w:val="FFFFFF" w:themeColor="background1"/>
                <w:sz w:val="20"/>
                <w:szCs w:val="20"/>
                <w:lang w:eastAsia="en-GB"/>
              </w:rPr>
              <w:t>Summary of findings</w:t>
            </w:r>
          </w:p>
        </w:tc>
        <w:tc>
          <w:tcPr>
            <w:tcW w:w="7513" w:type="dxa"/>
            <w:gridSpan w:val="3"/>
            <w:tcBorders>
              <w:top w:val="single" w:sz="4" w:space="0" w:color="C00000"/>
              <w:bottom w:val="single" w:sz="4" w:space="0" w:color="C00000"/>
            </w:tcBorders>
            <w:shd w:val="clear" w:color="auto" w:fill="auto"/>
            <w:vAlign w:val="center"/>
          </w:tcPr>
          <w:p w14:paraId="08CBBED3" w14:textId="6EFD9FA2" w:rsidR="00864643" w:rsidRPr="00E547EA" w:rsidRDefault="00864643" w:rsidP="004133C7">
            <w:pPr>
              <w:tabs>
                <w:tab w:val="left" w:pos="3402"/>
                <w:tab w:val="left" w:pos="5670"/>
              </w:tabs>
              <w:spacing w:before="40" w:after="40"/>
              <w:jc w:val="both"/>
              <w:rPr>
                <w:rFonts w:eastAsia="Times New Roman" w:cs="Arial"/>
                <w:sz w:val="20"/>
                <w:szCs w:val="20"/>
                <w:lang w:eastAsia="en-GB"/>
              </w:rPr>
            </w:pPr>
            <w:r>
              <w:rPr>
                <w:rFonts w:eastAsia="Times New Roman" w:cs="Arial"/>
                <w:sz w:val="20"/>
                <w:szCs w:val="20"/>
                <w:lang w:eastAsia="en-GB"/>
              </w:rPr>
              <w:t xml:space="preserve">Ensure </w:t>
            </w:r>
            <w:r w:rsidR="00404C4A">
              <w:rPr>
                <w:rFonts w:eastAsia="Times New Roman" w:cs="Arial"/>
                <w:sz w:val="20"/>
                <w:szCs w:val="20"/>
                <w:lang w:eastAsia="en-GB"/>
              </w:rPr>
              <w:t>appropriate induction for all learners</w:t>
            </w:r>
          </w:p>
        </w:tc>
      </w:tr>
      <w:tr w:rsidR="00864643" w:rsidRPr="00CF60D1" w14:paraId="1976044D" w14:textId="77777777" w:rsidTr="004133C7">
        <w:trPr>
          <w:trHeight w:val="569"/>
        </w:trPr>
        <w:tc>
          <w:tcPr>
            <w:tcW w:w="2410" w:type="dxa"/>
            <w:shd w:val="clear" w:color="auto" w:fill="C00000"/>
            <w:vAlign w:val="center"/>
          </w:tcPr>
          <w:p w14:paraId="215F7524" w14:textId="77777777" w:rsidR="00864643" w:rsidRPr="00E547EA" w:rsidRDefault="00864643" w:rsidP="004133C7">
            <w:pPr>
              <w:pStyle w:val="ListNumber"/>
              <w:numPr>
                <w:ilvl w:val="0"/>
                <w:numId w:val="0"/>
              </w:numPr>
              <w:tabs>
                <w:tab w:val="left" w:pos="3402"/>
                <w:tab w:val="left" w:pos="5670"/>
              </w:tabs>
              <w:spacing w:before="40" w:after="40" w:line="240" w:lineRule="auto"/>
              <w:jc w:val="right"/>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Required a</w:t>
            </w:r>
            <w:r w:rsidRPr="00E547EA">
              <w:rPr>
                <w:rFonts w:ascii="Arial" w:hAnsi="Arial" w:cs="Arial"/>
                <w:b/>
                <w:color w:val="FFFFFF" w:themeColor="background1"/>
                <w:sz w:val="20"/>
                <w:szCs w:val="20"/>
                <w:lang w:eastAsia="en-GB"/>
              </w:rPr>
              <w:t>ction</w:t>
            </w:r>
          </w:p>
        </w:tc>
        <w:tc>
          <w:tcPr>
            <w:tcW w:w="7513" w:type="dxa"/>
            <w:gridSpan w:val="3"/>
            <w:tcBorders>
              <w:top w:val="single" w:sz="4" w:space="0" w:color="C00000"/>
              <w:bottom w:val="single" w:sz="4" w:space="0" w:color="C00000"/>
            </w:tcBorders>
            <w:shd w:val="clear" w:color="auto" w:fill="auto"/>
            <w:vAlign w:val="center"/>
          </w:tcPr>
          <w:p w14:paraId="661D9F52" w14:textId="53161965" w:rsidR="00864643" w:rsidRPr="00E547EA" w:rsidRDefault="00404C4A" w:rsidP="004133C7">
            <w:pPr>
              <w:tabs>
                <w:tab w:val="left" w:pos="3402"/>
                <w:tab w:val="left" w:pos="5670"/>
              </w:tabs>
              <w:spacing w:before="40" w:after="40"/>
              <w:jc w:val="both"/>
              <w:rPr>
                <w:rFonts w:eastAsia="Times New Roman" w:cs="Arial"/>
                <w:sz w:val="20"/>
                <w:szCs w:val="20"/>
                <w:lang w:eastAsia="en-GB"/>
              </w:rPr>
            </w:pPr>
            <w:r>
              <w:rPr>
                <w:rFonts w:eastAsia="Times New Roman" w:cs="Arial"/>
                <w:sz w:val="20"/>
                <w:szCs w:val="20"/>
                <w:lang w:eastAsia="en-GB"/>
              </w:rPr>
              <w:t xml:space="preserve">To ensure that all learners have an induction appropriate to maintaining </w:t>
            </w:r>
            <w:r w:rsidR="00374982">
              <w:rPr>
                <w:rFonts w:eastAsia="Times New Roman" w:cs="Arial"/>
                <w:sz w:val="20"/>
                <w:szCs w:val="20"/>
                <w:lang w:eastAsia="en-GB"/>
              </w:rPr>
              <w:t>patient safety and maximising the learning to be achieved in the placement</w:t>
            </w:r>
          </w:p>
        </w:tc>
      </w:tr>
    </w:tbl>
    <w:p w14:paraId="3C83E355" w14:textId="77777777" w:rsidR="00006AF4" w:rsidRDefault="00006AF4" w:rsidP="00BC644F">
      <w:pPr>
        <w:pStyle w:val="Heading2"/>
      </w:pPr>
    </w:p>
    <w:p w14:paraId="115AF440" w14:textId="6D930717" w:rsidR="000200B5" w:rsidRDefault="000200B5" w:rsidP="00BC644F">
      <w:pPr>
        <w:pStyle w:val="Heading2"/>
      </w:pPr>
      <w:r>
        <w:br/>
      </w:r>
      <w:r>
        <w:br/>
      </w:r>
    </w:p>
    <w:tbl>
      <w:tblPr>
        <w:tblW w:w="9923" w:type="dxa"/>
        <w:tblInd w:w="108" w:type="dxa"/>
        <w:tblBorders>
          <w:top w:val="single" w:sz="12" w:space="0" w:color="C00000"/>
          <w:left w:val="single" w:sz="12" w:space="0" w:color="C00000"/>
          <w:bottom w:val="single" w:sz="12" w:space="0" w:color="C00000"/>
          <w:right w:val="single" w:sz="12" w:space="0" w:color="C00000"/>
        </w:tblBorders>
        <w:tblLayout w:type="fixed"/>
        <w:tblLook w:val="04A0" w:firstRow="1" w:lastRow="0" w:firstColumn="1" w:lastColumn="0" w:noHBand="0" w:noVBand="1"/>
      </w:tblPr>
      <w:tblGrid>
        <w:gridCol w:w="2410"/>
        <w:gridCol w:w="3260"/>
        <w:gridCol w:w="2977"/>
        <w:gridCol w:w="1276"/>
      </w:tblGrid>
      <w:tr w:rsidR="000200B5" w:rsidRPr="0017084D" w14:paraId="61582744" w14:textId="77777777" w:rsidTr="004133C7">
        <w:trPr>
          <w:trHeight w:val="422"/>
        </w:trPr>
        <w:tc>
          <w:tcPr>
            <w:tcW w:w="8647" w:type="dxa"/>
            <w:gridSpan w:val="3"/>
            <w:shd w:val="clear" w:color="auto" w:fill="C00000"/>
          </w:tcPr>
          <w:p w14:paraId="69590726" w14:textId="77777777" w:rsidR="000200B5" w:rsidRPr="0017084D" w:rsidRDefault="000200B5" w:rsidP="004133C7">
            <w:pPr>
              <w:pStyle w:val="ListNumber"/>
              <w:numPr>
                <w:ilvl w:val="0"/>
                <w:numId w:val="0"/>
              </w:numPr>
              <w:tabs>
                <w:tab w:val="left" w:pos="3402"/>
                <w:tab w:val="left" w:pos="5670"/>
              </w:tabs>
              <w:spacing w:before="40" w:after="40" w:line="240" w:lineRule="auto"/>
              <w:rPr>
                <w:rFonts w:cs="Arial"/>
                <w:b/>
                <w:color w:val="FFFFFF" w:themeColor="background1"/>
                <w:sz w:val="22"/>
                <w:szCs w:val="22"/>
                <w:lang w:eastAsia="en-GB"/>
              </w:rPr>
            </w:pPr>
            <w:r>
              <w:rPr>
                <w:rFonts w:ascii="Arial" w:hAnsi="Arial" w:cs="Arial"/>
                <w:b/>
                <w:color w:val="FFFFFF" w:themeColor="background1"/>
                <w:sz w:val="20"/>
                <w:szCs w:val="20"/>
              </w:rPr>
              <w:t>Were any requirements to improve education identified?</w:t>
            </w:r>
          </w:p>
        </w:tc>
        <w:tc>
          <w:tcPr>
            <w:tcW w:w="1276" w:type="dxa"/>
            <w:shd w:val="clear" w:color="auto" w:fill="auto"/>
          </w:tcPr>
          <w:p w14:paraId="17743D16" w14:textId="77777777" w:rsidR="000200B5" w:rsidRPr="0017084D" w:rsidRDefault="000200B5" w:rsidP="004133C7">
            <w:pPr>
              <w:pStyle w:val="GMCNumbertext"/>
              <w:numPr>
                <w:ilvl w:val="0"/>
                <w:numId w:val="0"/>
              </w:numPr>
              <w:tabs>
                <w:tab w:val="left" w:pos="3402"/>
                <w:tab w:val="left" w:pos="5670"/>
              </w:tabs>
              <w:spacing w:before="40" w:after="40"/>
              <w:jc w:val="center"/>
              <w:rPr>
                <w:rFonts w:ascii="Arial" w:hAnsi="Arial" w:cs="Arial"/>
                <w:b/>
                <w:color w:val="FFFFFF" w:themeColor="background1"/>
                <w:sz w:val="22"/>
                <w:szCs w:val="22"/>
                <w:lang w:eastAsia="en-GB"/>
              </w:rPr>
            </w:pPr>
            <w:r>
              <w:rPr>
                <w:rFonts w:ascii="Arial" w:hAnsi="Arial" w:cs="Arial"/>
                <w:b/>
                <w:sz w:val="20"/>
                <w:szCs w:val="20"/>
              </w:rPr>
              <w:t xml:space="preserve">YES </w:t>
            </w:r>
          </w:p>
        </w:tc>
      </w:tr>
      <w:tr w:rsidR="000200B5" w:rsidRPr="0017084D" w14:paraId="32882AC4" w14:textId="77777777" w:rsidTr="004133C7">
        <w:trPr>
          <w:trHeight w:val="418"/>
        </w:trPr>
        <w:tc>
          <w:tcPr>
            <w:tcW w:w="2410" w:type="dxa"/>
            <w:tcBorders>
              <w:bottom w:val="nil"/>
            </w:tcBorders>
            <w:shd w:val="clear" w:color="auto" w:fill="C00000"/>
            <w:vAlign w:val="center"/>
          </w:tcPr>
          <w:p w14:paraId="0DE75757" w14:textId="77777777" w:rsidR="000200B5" w:rsidRPr="00E547EA" w:rsidRDefault="000200B5" w:rsidP="004133C7">
            <w:pPr>
              <w:pStyle w:val="GMCNumbertext"/>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r w:rsidRPr="00E547EA">
              <w:rPr>
                <w:rFonts w:ascii="Arial" w:hAnsi="Arial" w:cs="Arial"/>
                <w:b/>
                <w:color w:val="FFFFFF" w:themeColor="background1"/>
                <w:sz w:val="20"/>
                <w:szCs w:val="20"/>
                <w:lang w:eastAsia="en-GB"/>
              </w:rPr>
              <w:t>Reference</w:t>
            </w:r>
            <w:r>
              <w:rPr>
                <w:rFonts w:ascii="Arial" w:hAnsi="Arial" w:cs="Arial"/>
                <w:b/>
                <w:color w:val="FFFFFF" w:themeColor="background1"/>
                <w:sz w:val="20"/>
                <w:szCs w:val="20"/>
                <w:lang w:eastAsia="en-GB"/>
              </w:rPr>
              <w:t xml:space="preserve"> no.</w:t>
            </w:r>
          </w:p>
        </w:tc>
        <w:tc>
          <w:tcPr>
            <w:tcW w:w="3260" w:type="dxa"/>
            <w:tcBorders>
              <w:bottom w:val="nil"/>
            </w:tcBorders>
            <w:shd w:val="clear" w:color="auto" w:fill="C00000"/>
            <w:vAlign w:val="center"/>
          </w:tcPr>
          <w:p w14:paraId="7F0E4CD7" w14:textId="77777777" w:rsidR="000200B5" w:rsidRPr="00E547EA" w:rsidRDefault="000200B5" w:rsidP="004133C7">
            <w:pPr>
              <w:pStyle w:val="ListNumber"/>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r w:rsidRPr="00E547EA">
              <w:rPr>
                <w:rFonts w:ascii="Arial" w:hAnsi="Arial" w:cs="Arial"/>
                <w:b/>
                <w:color w:val="FFFFFF" w:themeColor="background1"/>
                <w:sz w:val="20"/>
                <w:szCs w:val="20"/>
                <w:lang w:eastAsia="en-GB"/>
              </w:rPr>
              <w:t>Programme</w:t>
            </w:r>
            <w:r>
              <w:rPr>
                <w:rFonts w:ascii="Arial" w:hAnsi="Arial" w:cs="Arial"/>
                <w:b/>
                <w:color w:val="FFFFFF" w:themeColor="background1"/>
                <w:sz w:val="20"/>
                <w:szCs w:val="20"/>
                <w:lang w:eastAsia="en-GB"/>
              </w:rPr>
              <w:t xml:space="preserve"> / s</w:t>
            </w:r>
            <w:r w:rsidRPr="00E547EA">
              <w:rPr>
                <w:rFonts w:ascii="Arial" w:hAnsi="Arial" w:cs="Arial"/>
                <w:b/>
                <w:color w:val="FFFFFF" w:themeColor="background1"/>
                <w:sz w:val="20"/>
                <w:szCs w:val="20"/>
                <w:lang w:eastAsia="en-GB"/>
              </w:rPr>
              <w:t>pecialty:</w:t>
            </w:r>
          </w:p>
        </w:tc>
        <w:tc>
          <w:tcPr>
            <w:tcW w:w="4253" w:type="dxa"/>
            <w:gridSpan w:val="2"/>
            <w:tcBorders>
              <w:bottom w:val="nil"/>
            </w:tcBorders>
            <w:shd w:val="clear" w:color="auto" w:fill="C00000"/>
            <w:vAlign w:val="center"/>
          </w:tcPr>
          <w:p w14:paraId="62A6C2B3" w14:textId="77777777" w:rsidR="000200B5" w:rsidRPr="00E547EA" w:rsidRDefault="000200B5" w:rsidP="004133C7">
            <w:pPr>
              <w:pStyle w:val="GMCNumbertext"/>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Learner / professional g</w:t>
            </w:r>
            <w:r w:rsidRPr="00E547EA">
              <w:rPr>
                <w:rFonts w:ascii="Arial" w:hAnsi="Arial" w:cs="Arial"/>
                <w:b/>
                <w:color w:val="FFFFFF" w:themeColor="background1"/>
                <w:sz w:val="20"/>
                <w:szCs w:val="20"/>
                <w:lang w:eastAsia="en-GB"/>
              </w:rPr>
              <w:t>roup:</w:t>
            </w:r>
          </w:p>
        </w:tc>
      </w:tr>
      <w:tr w:rsidR="000200B5" w:rsidRPr="00A7049F" w14:paraId="1C8B1B21" w14:textId="77777777" w:rsidTr="004133C7">
        <w:trPr>
          <w:trHeight w:val="327"/>
        </w:trPr>
        <w:tc>
          <w:tcPr>
            <w:tcW w:w="2410" w:type="dxa"/>
            <w:tcBorders>
              <w:top w:val="nil"/>
              <w:bottom w:val="single" w:sz="4" w:space="0" w:color="C00000"/>
              <w:right w:val="single" w:sz="4" w:space="0" w:color="C00000"/>
            </w:tcBorders>
            <w:shd w:val="clear" w:color="auto" w:fill="auto"/>
            <w:vAlign w:val="center"/>
          </w:tcPr>
          <w:p w14:paraId="2CDD5D99" w14:textId="77777777" w:rsidR="000200B5" w:rsidRPr="00E547EA" w:rsidRDefault="000200B5" w:rsidP="004133C7">
            <w:pPr>
              <w:pStyle w:val="ListNumber"/>
              <w:numPr>
                <w:ilvl w:val="0"/>
                <w:numId w:val="0"/>
              </w:numPr>
              <w:tabs>
                <w:tab w:val="left" w:pos="3402"/>
                <w:tab w:val="left" w:pos="5670"/>
              </w:tabs>
              <w:spacing w:before="40" w:after="40" w:line="240" w:lineRule="auto"/>
              <w:rPr>
                <w:rFonts w:ascii="Arial" w:hAnsi="Arial" w:cs="Arial"/>
                <w:i/>
                <w:color w:val="auto"/>
                <w:sz w:val="20"/>
                <w:szCs w:val="20"/>
                <w:lang w:eastAsia="en-GB"/>
              </w:rPr>
            </w:pPr>
          </w:p>
        </w:tc>
        <w:tc>
          <w:tcPr>
            <w:tcW w:w="3260" w:type="dxa"/>
            <w:tcBorders>
              <w:top w:val="nil"/>
              <w:left w:val="single" w:sz="4" w:space="0" w:color="C00000"/>
              <w:bottom w:val="single" w:sz="4" w:space="0" w:color="C00000"/>
              <w:right w:val="single" w:sz="4" w:space="0" w:color="C00000"/>
            </w:tcBorders>
            <w:shd w:val="clear" w:color="auto" w:fill="auto"/>
            <w:vAlign w:val="center"/>
          </w:tcPr>
          <w:p w14:paraId="435C797E" w14:textId="77777777" w:rsidR="000200B5" w:rsidRPr="00E547EA" w:rsidRDefault="000200B5" w:rsidP="004133C7">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Radiography</w:t>
            </w:r>
          </w:p>
        </w:tc>
        <w:tc>
          <w:tcPr>
            <w:tcW w:w="4253" w:type="dxa"/>
            <w:gridSpan w:val="2"/>
            <w:tcBorders>
              <w:top w:val="nil"/>
              <w:left w:val="single" w:sz="4" w:space="0" w:color="C00000"/>
              <w:bottom w:val="single" w:sz="4" w:space="0" w:color="C00000"/>
            </w:tcBorders>
            <w:shd w:val="clear" w:color="auto" w:fill="auto"/>
            <w:vAlign w:val="center"/>
          </w:tcPr>
          <w:p w14:paraId="4DADB87B" w14:textId="77777777" w:rsidR="000200B5" w:rsidRPr="00E547EA" w:rsidRDefault="000200B5" w:rsidP="004133C7">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Radiography learners</w:t>
            </w:r>
          </w:p>
        </w:tc>
      </w:tr>
      <w:tr w:rsidR="000200B5" w:rsidRPr="00A7049F" w14:paraId="3F48FF9E" w14:textId="77777777" w:rsidTr="004133C7">
        <w:trPr>
          <w:trHeight w:val="569"/>
        </w:trPr>
        <w:tc>
          <w:tcPr>
            <w:tcW w:w="2410" w:type="dxa"/>
            <w:tcBorders>
              <w:top w:val="single" w:sz="4" w:space="0" w:color="C00000"/>
            </w:tcBorders>
            <w:shd w:val="clear" w:color="auto" w:fill="C00000"/>
            <w:vAlign w:val="center"/>
          </w:tcPr>
          <w:p w14:paraId="1F9C8FAA" w14:textId="77777777" w:rsidR="000200B5" w:rsidRPr="00E547EA" w:rsidRDefault="000200B5" w:rsidP="004133C7">
            <w:pPr>
              <w:pStyle w:val="ListNumber"/>
              <w:numPr>
                <w:ilvl w:val="0"/>
                <w:numId w:val="0"/>
              </w:numPr>
              <w:tabs>
                <w:tab w:val="left" w:pos="3402"/>
                <w:tab w:val="left" w:pos="5670"/>
              </w:tabs>
              <w:spacing w:before="40" w:after="40" w:line="240" w:lineRule="auto"/>
              <w:jc w:val="right"/>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Related Domain(s) &amp; Standard(s)</w:t>
            </w:r>
          </w:p>
        </w:tc>
        <w:tc>
          <w:tcPr>
            <w:tcW w:w="7513" w:type="dxa"/>
            <w:gridSpan w:val="3"/>
            <w:tcBorders>
              <w:top w:val="single" w:sz="4" w:space="0" w:color="C00000"/>
              <w:bottom w:val="single" w:sz="4" w:space="0" w:color="C00000"/>
            </w:tcBorders>
            <w:shd w:val="clear" w:color="auto" w:fill="auto"/>
            <w:vAlign w:val="center"/>
          </w:tcPr>
          <w:p w14:paraId="54403BF5" w14:textId="77777777" w:rsidR="000200B5" w:rsidRPr="00E547EA" w:rsidRDefault="000200B5" w:rsidP="004133C7">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Domain 1,2,5</w:t>
            </w:r>
          </w:p>
        </w:tc>
      </w:tr>
      <w:tr w:rsidR="000200B5" w:rsidRPr="00CF60D1" w14:paraId="0F9E0A5D" w14:textId="77777777" w:rsidTr="004133C7">
        <w:trPr>
          <w:trHeight w:val="327"/>
        </w:trPr>
        <w:tc>
          <w:tcPr>
            <w:tcW w:w="2410" w:type="dxa"/>
            <w:shd w:val="clear" w:color="auto" w:fill="C00000"/>
            <w:vAlign w:val="center"/>
          </w:tcPr>
          <w:p w14:paraId="6E833387" w14:textId="77777777" w:rsidR="000200B5" w:rsidRPr="00E547EA" w:rsidRDefault="000200B5" w:rsidP="004133C7">
            <w:pPr>
              <w:pStyle w:val="ListNumber"/>
              <w:numPr>
                <w:ilvl w:val="0"/>
                <w:numId w:val="0"/>
              </w:numPr>
              <w:tabs>
                <w:tab w:val="left" w:pos="3402"/>
                <w:tab w:val="left" w:pos="5670"/>
              </w:tabs>
              <w:spacing w:before="40" w:after="40" w:line="240" w:lineRule="auto"/>
              <w:jc w:val="right"/>
              <w:rPr>
                <w:rFonts w:ascii="Arial" w:hAnsi="Arial" w:cs="Arial"/>
                <w:b/>
                <w:color w:val="FFFFFF" w:themeColor="background1"/>
                <w:sz w:val="20"/>
                <w:szCs w:val="20"/>
                <w:lang w:eastAsia="en-GB"/>
              </w:rPr>
            </w:pPr>
            <w:r w:rsidRPr="00E547EA">
              <w:rPr>
                <w:rFonts w:ascii="Arial" w:hAnsi="Arial" w:cs="Arial"/>
                <w:b/>
                <w:color w:val="FFFFFF" w:themeColor="background1"/>
                <w:sz w:val="20"/>
                <w:szCs w:val="20"/>
                <w:lang w:eastAsia="en-GB"/>
              </w:rPr>
              <w:t>Summary of findings</w:t>
            </w:r>
          </w:p>
        </w:tc>
        <w:tc>
          <w:tcPr>
            <w:tcW w:w="7513" w:type="dxa"/>
            <w:gridSpan w:val="3"/>
            <w:tcBorders>
              <w:top w:val="single" w:sz="4" w:space="0" w:color="C00000"/>
              <w:bottom w:val="single" w:sz="4" w:space="0" w:color="C00000"/>
            </w:tcBorders>
            <w:shd w:val="clear" w:color="auto" w:fill="auto"/>
            <w:vAlign w:val="center"/>
          </w:tcPr>
          <w:p w14:paraId="3A5CA7CC" w14:textId="47E33144" w:rsidR="000200B5" w:rsidRPr="00E547EA" w:rsidRDefault="000C585B" w:rsidP="004133C7">
            <w:pPr>
              <w:tabs>
                <w:tab w:val="left" w:pos="3402"/>
                <w:tab w:val="left" w:pos="5670"/>
              </w:tabs>
              <w:spacing w:before="40" w:after="40"/>
              <w:jc w:val="both"/>
              <w:rPr>
                <w:rFonts w:eastAsia="Times New Roman" w:cs="Arial"/>
                <w:sz w:val="20"/>
                <w:szCs w:val="20"/>
                <w:lang w:eastAsia="en-GB"/>
              </w:rPr>
            </w:pPr>
            <w:r>
              <w:rPr>
                <w:rFonts w:eastAsia="Times New Roman" w:cs="Arial"/>
                <w:sz w:val="20"/>
                <w:szCs w:val="20"/>
                <w:lang w:eastAsia="en-GB"/>
              </w:rPr>
              <w:t xml:space="preserve">Lack of clarity </w:t>
            </w:r>
            <w:r w:rsidR="00B0235C">
              <w:rPr>
                <w:rFonts w:eastAsia="Times New Roman" w:cs="Arial"/>
                <w:sz w:val="20"/>
                <w:szCs w:val="20"/>
                <w:lang w:eastAsia="en-GB"/>
              </w:rPr>
              <w:t xml:space="preserve">regarding </w:t>
            </w:r>
            <w:r w:rsidR="007A08CF">
              <w:rPr>
                <w:rFonts w:eastAsia="Times New Roman" w:cs="Arial"/>
                <w:sz w:val="20"/>
                <w:szCs w:val="20"/>
                <w:lang w:eastAsia="en-GB"/>
              </w:rPr>
              <w:t>provision of radiography education</w:t>
            </w:r>
          </w:p>
        </w:tc>
      </w:tr>
      <w:tr w:rsidR="000200B5" w:rsidRPr="00CF60D1" w14:paraId="4A65E448" w14:textId="77777777" w:rsidTr="004133C7">
        <w:trPr>
          <w:trHeight w:val="569"/>
        </w:trPr>
        <w:tc>
          <w:tcPr>
            <w:tcW w:w="2410" w:type="dxa"/>
            <w:shd w:val="clear" w:color="auto" w:fill="C00000"/>
            <w:vAlign w:val="center"/>
          </w:tcPr>
          <w:p w14:paraId="3D004FAD" w14:textId="77777777" w:rsidR="000200B5" w:rsidRPr="00E547EA" w:rsidRDefault="000200B5" w:rsidP="004133C7">
            <w:pPr>
              <w:pStyle w:val="ListNumber"/>
              <w:numPr>
                <w:ilvl w:val="0"/>
                <w:numId w:val="0"/>
              </w:numPr>
              <w:tabs>
                <w:tab w:val="left" w:pos="3402"/>
                <w:tab w:val="left" w:pos="5670"/>
              </w:tabs>
              <w:spacing w:before="40" w:after="40" w:line="240" w:lineRule="auto"/>
              <w:jc w:val="right"/>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Required a</w:t>
            </w:r>
            <w:r w:rsidRPr="00E547EA">
              <w:rPr>
                <w:rFonts w:ascii="Arial" w:hAnsi="Arial" w:cs="Arial"/>
                <w:b/>
                <w:color w:val="FFFFFF" w:themeColor="background1"/>
                <w:sz w:val="20"/>
                <w:szCs w:val="20"/>
                <w:lang w:eastAsia="en-GB"/>
              </w:rPr>
              <w:t>ction</w:t>
            </w:r>
          </w:p>
        </w:tc>
        <w:tc>
          <w:tcPr>
            <w:tcW w:w="7513" w:type="dxa"/>
            <w:gridSpan w:val="3"/>
            <w:tcBorders>
              <w:top w:val="single" w:sz="4" w:space="0" w:color="C00000"/>
              <w:bottom w:val="single" w:sz="4" w:space="0" w:color="C00000"/>
            </w:tcBorders>
            <w:shd w:val="clear" w:color="auto" w:fill="auto"/>
            <w:vAlign w:val="center"/>
          </w:tcPr>
          <w:p w14:paraId="4FFD7B09" w14:textId="7A58C8A4" w:rsidR="000200B5" w:rsidRPr="00E547EA" w:rsidRDefault="007A08CF" w:rsidP="004133C7">
            <w:pPr>
              <w:tabs>
                <w:tab w:val="left" w:pos="3402"/>
                <w:tab w:val="left" w:pos="5670"/>
              </w:tabs>
              <w:spacing w:before="40" w:after="40"/>
              <w:jc w:val="both"/>
              <w:rPr>
                <w:rFonts w:eastAsia="Times New Roman" w:cs="Arial"/>
                <w:sz w:val="20"/>
                <w:szCs w:val="20"/>
                <w:lang w:eastAsia="en-GB"/>
              </w:rPr>
            </w:pPr>
            <w:r>
              <w:rPr>
                <w:rFonts w:eastAsia="Times New Roman" w:cs="Arial"/>
                <w:sz w:val="20"/>
                <w:szCs w:val="20"/>
                <w:lang w:eastAsia="en-GB"/>
              </w:rPr>
              <w:t>Ensure there is a</w:t>
            </w:r>
            <w:r w:rsidR="00976BAE">
              <w:rPr>
                <w:rFonts w:eastAsia="Times New Roman" w:cs="Arial"/>
                <w:sz w:val="20"/>
                <w:szCs w:val="20"/>
                <w:lang w:eastAsia="en-GB"/>
              </w:rPr>
              <w:t xml:space="preserve"> robust </w:t>
            </w:r>
            <w:r w:rsidR="00BB0C16">
              <w:rPr>
                <w:rFonts w:eastAsia="Times New Roman" w:cs="Arial"/>
                <w:sz w:val="20"/>
                <w:szCs w:val="20"/>
                <w:lang w:eastAsia="en-GB"/>
              </w:rPr>
              <w:t>decision-making</w:t>
            </w:r>
            <w:r w:rsidR="00976BAE">
              <w:rPr>
                <w:rFonts w:eastAsia="Times New Roman" w:cs="Arial"/>
                <w:sz w:val="20"/>
                <w:szCs w:val="20"/>
                <w:lang w:eastAsia="en-GB"/>
              </w:rPr>
              <w:t xml:space="preserve"> group that hears the views of all stakeholders. Embrace innovation</w:t>
            </w:r>
            <w:r w:rsidR="00071846">
              <w:rPr>
                <w:rFonts w:eastAsia="Times New Roman" w:cs="Arial"/>
                <w:sz w:val="20"/>
                <w:szCs w:val="20"/>
                <w:lang w:eastAsia="en-GB"/>
              </w:rPr>
              <w:t xml:space="preserve"> where it could lead to improvement in the patient and/or learner experience</w:t>
            </w:r>
          </w:p>
        </w:tc>
      </w:tr>
    </w:tbl>
    <w:p w14:paraId="548F3588" w14:textId="6D435A1D" w:rsidR="00205409" w:rsidRDefault="00205409" w:rsidP="00BC644F">
      <w:pPr>
        <w:pStyle w:val="Heading2"/>
      </w:pPr>
    </w:p>
    <w:p w14:paraId="4BE509FD" w14:textId="53581C74" w:rsidR="00431785" w:rsidRPr="00006AF4" w:rsidRDefault="00431785" w:rsidP="00431785">
      <w:pPr>
        <w:rPr>
          <w:b/>
          <w:bCs/>
        </w:rPr>
      </w:pPr>
      <w:r w:rsidRPr="00006AF4">
        <w:rPr>
          <w:b/>
          <w:bCs/>
        </w:rPr>
        <w:t>Please also see actions within body of report.</w:t>
      </w:r>
    </w:p>
    <w:p w14:paraId="7648723E" w14:textId="77777777" w:rsidR="00F515D2" w:rsidRPr="00431785" w:rsidRDefault="00F515D2" w:rsidP="00431785"/>
    <w:p w14:paraId="0BE7A5A0" w14:textId="77777777" w:rsidR="00D15FCD" w:rsidRPr="00D15FCD" w:rsidRDefault="00D15FCD" w:rsidP="00D15FCD"/>
    <w:p w14:paraId="5B48B874" w14:textId="37C67BFC" w:rsidR="00BC644F" w:rsidRDefault="00E547EA" w:rsidP="00BC644F">
      <w:pPr>
        <w:pStyle w:val="Heading2"/>
      </w:pPr>
      <w:r>
        <w:t>Educational r</w:t>
      </w:r>
      <w:r w:rsidR="00BC644F" w:rsidRPr="000A4C31">
        <w:t>ecommendations</w:t>
      </w:r>
    </w:p>
    <w:p w14:paraId="5B48B876" w14:textId="77777777" w:rsidR="00E2631D" w:rsidRPr="00E2631D" w:rsidRDefault="00E2631D" w:rsidP="00E2631D"/>
    <w:p w14:paraId="5B48B877" w14:textId="77777777" w:rsidR="00BC644F" w:rsidRDefault="00BC644F" w:rsidP="00BC644F">
      <w:pPr>
        <w:rPr>
          <w:rFonts w:cs="Arial"/>
          <w:i/>
          <w:sz w:val="22"/>
          <w:szCs w:val="22"/>
        </w:rPr>
      </w:pPr>
      <w:r w:rsidRPr="000A4C31">
        <w:rPr>
          <w:rFonts w:cs="Arial"/>
          <w:i/>
          <w:sz w:val="22"/>
          <w:szCs w:val="22"/>
        </w:rPr>
        <w:t xml:space="preserve">Recommendations </w:t>
      </w:r>
      <w:r>
        <w:rPr>
          <w:rFonts w:cs="Arial"/>
          <w:i/>
          <w:sz w:val="22"/>
          <w:szCs w:val="22"/>
        </w:rPr>
        <w:t xml:space="preserve">are a proposal as to the best course of action. </w:t>
      </w:r>
    </w:p>
    <w:p w14:paraId="5B48B878" w14:textId="77777777" w:rsidR="00E547EA" w:rsidRDefault="00E547EA" w:rsidP="00BC644F">
      <w:pPr>
        <w:rPr>
          <w:rFonts w:cs="Arial"/>
          <w:i/>
          <w:sz w:val="22"/>
          <w:szCs w:val="22"/>
        </w:rPr>
      </w:pPr>
    </w:p>
    <w:p w14:paraId="5B48B879" w14:textId="6509E492" w:rsidR="00BC644F" w:rsidRPr="00E63BAC" w:rsidRDefault="00BC644F" w:rsidP="00E547EA">
      <w:pPr>
        <w:spacing w:after="120"/>
        <w:rPr>
          <w:rFonts w:cs="Arial"/>
          <w:i/>
          <w:color w:val="FF0000"/>
          <w:sz w:val="20"/>
          <w:szCs w:val="20"/>
        </w:rPr>
      </w:pPr>
    </w:p>
    <w:tbl>
      <w:tblPr>
        <w:tblW w:w="9923" w:type="dxa"/>
        <w:tblInd w:w="108" w:type="dxa"/>
        <w:tblBorders>
          <w:top w:val="single" w:sz="12" w:space="0" w:color="0070C0"/>
          <w:left w:val="single" w:sz="12" w:space="0" w:color="0070C0"/>
          <w:bottom w:val="single" w:sz="12" w:space="0" w:color="0070C0"/>
          <w:right w:val="single" w:sz="12" w:space="0" w:color="0070C0"/>
        </w:tblBorders>
        <w:tblLayout w:type="fixed"/>
        <w:tblLook w:val="04A0" w:firstRow="1" w:lastRow="0" w:firstColumn="1" w:lastColumn="0" w:noHBand="0" w:noVBand="1"/>
      </w:tblPr>
      <w:tblGrid>
        <w:gridCol w:w="2410"/>
        <w:gridCol w:w="3260"/>
        <w:gridCol w:w="4253"/>
      </w:tblGrid>
      <w:tr w:rsidR="00E547EA" w:rsidRPr="0017084D" w14:paraId="5B48B87D" w14:textId="77777777" w:rsidTr="00E63BAC">
        <w:trPr>
          <w:trHeight w:val="397"/>
        </w:trPr>
        <w:tc>
          <w:tcPr>
            <w:tcW w:w="2410" w:type="dxa"/>
            <w:tcBorders>
              <w:bottom w:val="nil"/>
            </w:tcBorders>
            <w:shd w:val="clear" w:color="auto" w:fill="0070C0"/>
            <w:vAlign w:val="center"/>
          </w:tcPr>
          <w:p w14:paraId="5B48B87A" w14:textId="77777777" w:rsidR="00E547EA" w:rsidRPr="00E547EA" w:rsidRDefault="00E547EA" w:rsidP="00853F0B">
            <w:pPr>
              <w:pStyle w:val="GMCNumbertext"/>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bookmarkStart w:id="6" w:name="_HENW_Requirement_2"/>
            <w:bookmarkStart w:id="7" w:name="_HENW_Recommendation_1"/>
            <w:bookmarkEnd w:id="6"/>
            <w:bookmarkEnd w:id="7"/>
            <w:r w:rsidRPr="00E547EA">
              <w:rPr>
                <w:rFonts w:ascii="Arial" w:hAnsi="Arial" w:cs="Arial"/>
                <w:b/>
                <w:color w:val="FFFFFF" w:themeColor="background1"/>
                <w:sz w:val="20"/>
                <w:szCs w:val="20"/>
                <w:lang w:eastAsia="en-GB"/>
              </w:rPr>
              <w:t>Reference</w:t>
            </w:r>
            <w:r>
              <w:rPr>
                <w:rFonts w:ascii="Arial" w:hAnsi="Arial" w:cs="Arial"/>
                <w:b/>
                <w:color w:val="FFFFFF" w:themeColor="background1"/>
                <w:sz w:val="20"/>
                <w:szCs w:val="20"/>
                <w:lang w:eastAsia="en-GB"/>
              </w:rPr>
              <w:t xml:space="preserve"> no.</w:t>
            </w:r>
          </w:p>
        </w:tc>
        <w:tc>
          <w:tcPr>
            <w:tcW w:w="3260" w:type="dxa"/>
            <w:tcBorders>
              <w:bottom w:val="nil"/>
            </w:tcBorders>
            <w:shd w:val="clear" w:color="auto" w:fill="0070C0"/>
            <w:vAlign w:val="center"/>
          </w:tcPr>
          <w:p w14:paraId="5B48B87B" w14:textId="77777777" w:rsidR="00E547EA" w:rsidRPr="00E547EA" w:rsidRDefault="00E547EA" w:rsidP="00853F0B">
            <w:pPr>
              <w:pStyle w:val="ListNumber"/>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r w:rsidRPr="00E547EA">
              <w:rPr>
                <w:rFonts w:ascii="Arial" w:hAnsi="Arial" w:cs="Arial"/>
                <w:b/>
                <w:color w:val="FFFFFF" w:themeColor="background1"/>
                <w:sz w:val="20"/>
                <w:szCs w:val="20"/>
                <w:lang w:eastAsia="en-GB"/>
              </w:rPr>
              <w:t>Programme</w:t>
            </w:r>
            <w:r>
              <w:rPr>
                <w:rFonts w:ascii="Arial" w:hAnsi="Arial" w:cs="Arial"/>
                <w:b/>
                <w:color w:val="FFFFFF" w:themeColor="background1"/>
                <w:sz w:val="20"/>
                <w:szCs w:val="20"/>
                <w:lang w:eastAsia="en-GB"/>
              </w:rPr>
              <w:t xml:space="preserve"> / s</w:t>
            </w:r>
            <w:r w:rsidRPr="00E547EA">
              <w:rPr>
                <w:rFonts w:ascii="Arial" w:hAnsi="Arial" w:cs="Arial"/>
                <w:b/>
                <w:color w:val="FFFFFF" w:themeColor="background1"/>
                <w:sz w:val="20"/>
                <w:szCs w:val="20"/>
                <w:lang w:eastAsia="en-GB"/>
              </w:rPr>
              <w:t>pecialty:</w:t>
            </w:r>
          </w:p>
        </w:tc>
        <w:tc>
          <w:tcPr>
            <w:tcW w:w="4253" w:type="dxa"/>
            <w:tcBorders>
              <w:bottom w:val="nil"/>
            </w:tcBorders>
            <w:shd w:val="clear" w:color="auto" w:fill="0070C0"/>
            <w:vAlign w:val="center"/>
          </w:tcPr>
          <w:p w14:paraId="5B48B87C" w14:textId="77777777" w:rsidR="00E547EA" w:rsidRPr="00E547EA" w:rsidRDefault="00E547EA" w:rsidP="00853F0B">
            <w:pPr>
              <w:pStyle w:val="GMCNumbertext"/>
              <w:numPr>
                <w:ilvl w:val="0"/>
                <w:numId w:val="0"/>
              </w:numPr>
              <w:tabs>
                <w:tab w:val="left" w:pos="3402"/>
                <w:tab w:val="left" w:pos="5670"/>
              </w:tabs>
              <w:spacing w:before="40" w:after="40" w:line="240" w:lineRule="auto"/>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Learner / professional g</w:t>
            </w:r>
            <w:r w:rsidRPr="00E547EA">
              <w:rPr>
                <w:rFonts w:ascii="Arial" w:hAnsi="Arial" w:cs="Arial"/>
                <w:b/>
                <w:color w:val="FFFFFF" w:themeColor="background1"/>
                <w:sz w:val="20"/>
                <w:szCs w:val="20"/>
                <w:lang w:eastAsia="en-GB"/>
              </w:rPr>
              <w:t>roup:</w:t>
            </w:r>
          </w:p>
        </w:tc>
      </w:tr>
      <w:tr w:rsidR="00E547EA" w:rsidRPr="00A7049F" w14:paraId="5B48B881" w14:textId="77777777" w:rsidTr="00E63BAC">
        <w:tc>
          <w:tcPr>
            <w:tcW w:w="2410" w:type="dxa"/>
            <w:tcBorders>
              <w:top w:val="nil"/>
              <w:bottom w:val="single" w:sz="4" w:space="0" w:color="0070C0"/>
              <w:right w:val="single" w:sz="4" w:space="0" w:color="0070C0"/>
            </w:tcBorders>
            <w:shd w:val="clear" w:color="auto" w:fill="auto"/>
            <w:vAlign w:val="center"/>
          </w:tcPr>
          <w:p w14:paraId="5B48B87E" w14:textId="65506D35" w:rsidR="00E547EA" w:rsidRPr="00E547EA" w:rsidRDefault="00E547EA" w:rsidP="00E63BAC">
            <w:pPr>
              <w:pStyle w:val="ListNumber"/>
              <w:numPr>
                <w:ilvl w:val="0"/>
                <w:numId w:val="0"/>
              </w:numPr>
              <w:tabs>
                <w:tab w:val="left" w:pos="3402"/>
                <w:tab w:val="left" w:pos="5670"/>
              </w:tabs>
              <w:spacing w:before="40" w:after="40" w:line="240" w:lineRule="auto"/>
              <w:rPr>
                <w:rFonts w:ascii="Arial" w:hAnsi="Arial" w:cs="Arial"/>
                <w:i/>
                <w:color w:val="auto"/>
                <w:sz w:val="20"/>
                <w:szCs w:val="20"/>
                <w:lang w:eastAsia="en-GB"/>
              </w:rPr>
            </w:pPr>
          </w:p>
        </w:tc>
        <w:tc>
          <w:tcPr>
            <w:tcW w:w="3260" w:type="dxa"/>
            <w:tcBorders>
              <w:top w:val="nil"/>
              <w:left w:val="single" w:sz="4" w:space="0" w:color="0070C0"/>
              <w:bottom w:val="single" w:sz="4" w:space="0" w:color="0070C0"/>
              <w:right w:val="single" w:sz="4" w:space="0" w:color="0070C0"/>
            </w:tcBorders>
            <w:shd w:val="clear" w:color="auto" w:fill="auto"/>
            <w:vAlign w:val="center"/>
          </w:tcPr>
          <w:p w14:paraId="5B48B87F" w14:textId="6704DF8F" w:rsidR="00E547EA" w:rsidRPr="00E547EA" w:rsidRDefault="007739DD" w:rsidP="00853F0B">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Radiography</w:t>
            </w:r>
          </w:p>
        </w:tc>
        <w:tc>
          <w:tcPr>
            <w:tcW w:w="4253" w:type="dxa"/>
            <w:tcBorders>
              <w:top w:val="nil"/>
              <w:left w:val="single" w:sz="4" w:space="0" w:color="0070C0"/>
              <w:bottom w:val="single" w:sz="4" w:space="0" w:color="0070C0"/>
            </w:tcBorders>
            <w:shd w:val="clear" w:color="auto" w:fill="auto"/>
            <w:vAlign w:val="center"/>
          </w:tcPr>
          <w:p w14:paraId="5B48B880" w14:textId="2CD4BBDB" w:rsidR="00E547EA" w:rsidRPr="00E547EA" w:rsidRDefault="007739DD" w:rsidP="00853F0B">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Radiography learners</w:t>
            </w:r>
          </w:p>
        </w:tc>
      </w:tr>
      <w:tr w:rsidR="00CD2EEF" w:rsidRPr="00A7049F" w14:paraId="5B48B884" w14:textId="77777777" w:rsidTr="00E63BAC">
        <w:tc>
          <w:tcPr>
            <w:tcW w:w="2410" w:type="dxa"/>
            <w:tcBorders>
              <w:top w:val="single" w:sz="4" w:space="0" w:color="0070C0"/>
            </w:tcBorders>
            <w:shd w:val="clear" w:color="auto" w:fill="0070C0"/>
            <w:vAlign w:val="center"/>
          </w:tcPr>
          <w:p w14:paraId="5B48B882" w14:textId="77777777" w:rsidR="00E547EA" w:rsidRPr="00E547EA" w:rsidRDefault="00E547EA" w:rsidP="00853F0B">
            <w:pPr>
              <w:pStyle w:val="ListNumber"/>
              <w:numPr>
                <w:ilvl w:val="0"/>
                <w:numId w:val="0"/>
              </w:numPr>
              <w:tabs>
                <w:tab w:val="left" w:pos="3402"/>
                <w:tab w:val="left" w:pos="5670"/>
              </w:tabs>
              <w:spacing w:before="40" w:after="40" w:line="240" w:lineRule="auto"/>
              <w:jc w:val="right"/>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Related Domain</w:t>
            </w:r>
            <w:r w:rsidR="00CD2EEF">
              <w:rPr>
                <w:rFonts w:ascii="Arial" w:hAnsi="Arial" w:cs="Arial"/>
                <w:b/>
                <w:color w:val="FFFFFF" w:themeColor="background1"/>
                <w:sz w:val="20"/>
                <w:szCs w:val="20"/>
                <w:lang w:eastAsia="en-GB"/>
              </w:rPr>
              <w:t>(s)</w:t>
            </w:r>
            <w:r>
              <w:rPr>
                <w:rFonts w:ascii="Arial" w:hAnsi="Arial" w:cs="Arial"/>
                <w:b/>
                <w:color w:val="FFFFFF" w:themeColor="background1"/>
                <w:sz w:val="20"/>
                <w:szCs w:val="20"/>
                <w:lang w:eastAsia="en-GB"/>
              </w:rPr>
              <w:t xml:space="preserve"> &amp; Standard(s)</w:t>
            </w:r>
          </w:p>
        </w:tc>
        <w:tc>
          <w:tcPr>
            <w:tcW w:w="7513" w:type="dxa"/>
            <w:gridSpan w:val="2"/>
            <w:tcBorders>
              <w:top w:val="single" w:sz="4" w:space="0" w:color="0070C0"/>
              <w:bottom w:val="single" w:sz="4" w:space="0" w:color="0070C0"/>
            </w:tcBorders>
            <w:shd w:val="clear" w:color="auto" w:fill="auto"/>
            <w:vAlign w:val="center"/>
          </w:tcPr>
          <w:p w14:paraId="5B48B883" w14:textId="2E533E78" w:rsidR="00E547EA" w:rsidRPr="00E547EA" w:rsidRDefault="00C44EA3" w:rsidP="00853F0B">
            <w:pPr>
              <w:tabs>
                <w:tab w:val="left" w:pos="3402"/>
                <w:tab w:val="left" w:pos="5670"/>
              </w:tabs>
              <w:spacing w:before="40" w:after="40"/>
              <w:rPr>
                <w:rFonts w:eastAsia="Times New Roman" w:cs="Arial"/>
                <w:i/>
                <w:sz w:val="20"/>
                <w:szCs w:val="20"/>
                <w:lang w:eastAsia="en-GB"/>
              </w:rPr>
            </w:pPr>
            <w:r>
              <w:rPr>
                <w:rFonts w:eastAsia="Times New Roman" w:cs="Arial"/>
                <w:i/>
                <w:sz w:val="20"/>
                <w:szCs w:val="20"/>
                <w:lang w:eastAsia="en-GB"/>
              </w:rPr>
              <w:t>Domain1,2,5</w:t>
            </w:r>
          </w:p>
        </w:tc>
      </w:tr>
      <w:tr w:rsidR="00CD2EEF" w:rsidRPr="00CF60D1" w14:paraId="5B48B888" w14:textId="77777777" w:rsidTr="00E63BAC">
        <w:tc>
          <w:tcPr>
            <w:tcW w:w="2410" w:type="dxa"/>
            <w:shd w:val="clear" w:color="auto" w:fill="0070C0"/>
            <w:vAlign w:val="center"/>
          </w:tcPr>
          <w:p w14:paraId="5B48B885" w14:textId="77777777" w:rsidR="00E547EA" w:rsidRPr="00E547EA" w:rsidRDefault="00E547EA" w:rsidP="00853F0B">
            <w:pPr>
              <w:pStyle w:val="ListNumber"/>
              <w:numPr>
                <w:ilvl w:val="0"/>
                <w:numId w:val="0"/>
              </w:numPr>
              <w:tabs>
                <w:tab w:val="left" w:pos="3402"/>
                <w:tab w:val="left" w:pos="5670"/>
              </w:tabs>
              <w:spacing w:before="40" w:after="40" w:line="240" w:lineRule="auto"/>
              <w:jc w:val="right"/>
              <w:rPr>
                <w:rFonts w:ascii="Arial" w:hAnsi="Arial" w:cs="Arial"/>
                <w:b/>
                <w:color w:val="FFFFFF" w:themeColor="background1"/>
                <w:sz w:val="20"/>
                <w:szCs w:val="20"/>
                <w:lang w:eastAsia="en-GB"/>
              </w:rPr>
            </w:pPr>
            <w:r>
              <w:rPr>
                <w:rFonts w:ascii="Arial" w:hAnsi="Arial" w:cs="Arial"/>
                <w:b/>
                <w:color w:val="FFFFFF" w:themeColor="background1"/>
                <w:sz w:val="20"/>
                <w:szCs w:val="20"/>
                <w:lang w:eastAsia="en-GB"/>
              </w:rPr>
              <w:t>Summary of findings</w:t>
            </w:r>
          </w:p>
        </w:tc>
        <w:tc>
          <w:tcPr>
            <w:tcW w:w="7513" w:type="dxa"/>
            <w:gridSpan w:val="2"/>
            <w:tcBorders>
              <w:top w:val="single" w:sz="4" w:space="0" w:color="0070C0"/>
              <w:bottom w:val="single" w:sz="12" w:space="0" w:color="0070C0"/>
            </w:tcBorders>
            <w:shd w:val="clear" w:color="auto" w:fill="auto"/>
            <w:vAlign w:val="center"/>
          </w:tcPr>
          <w:p w14:paraId="5B48B887" w14:textId="49E23DAC" w:rsidR="00B017E4" w:rsidRPr="007631EE" w:rsidRDefault="00E763FA" w:rsidP="5C467BC1">
            <w:pPr>
              <w:tabs>
                <w:tab w:val="left" w:pos="3402"/>
                <w:tab w:val="left" w:pos="5670"/>
              </w:tabs>
              <w:spacing w:after="40"/>
              <w:rPr>
                <w:rFonts w:eastAsia="Times New Roman"/>
                <w:sz w:val="20"/>
                <w:szCs w:val="20"/>
                <w:lang w:eastAsia="en-GB"/>
              </w:rPr>
            </w:pPr>
            <w:r w:rsidRPr="007631EE">
              <w:rPr>
                <w:rFonts w:eastAsia="Times New Roman"/>
                <w:sz w:val="20"/>
                <w:szCs w:val="20"/>
                <w:lang w:eastAsia="en-GB"/>
              </w:rPr>
              <w:t xml:space="preserve">It is a recommendation of this report that there is transparency in terms of </w:t>
            </w:r>
            <w:r w:rsidR="000670EB" w:rsidRPr="007631EE">
              <w:rPr>
                <w:rFonts w:eastAsia="Times New Roman"/>
                <w:sz w:val="20"/>
                <w:szCs w:val="20"/>
                <w:lang w:eastAsia="en-GB"/>
              </w:rPr>
              <w:t xml:space="preserve">the funding that the Trust receives for the </w:t>
            </w:r>
            <w:r w:rsidR="007631EE" w:rsidRPr="007631EE">
              <w:rPr>
                <w:rFonts w:eastAsia="Times New Roman"/>
                <w:sz w:val="20"/>
                <w:szCs w:val="20"/>
                <w:lang w:eastAsia="en-GB"/>
              </w:rPr>
              <w:t>education and training offered by the Radiography Department.</w:t>
            </w:r>
          </w:p>
        </w:tc>
      </w:tr>
    </w:tbl>
    <w:p w14:paraId="5B48B889" w14:textId="77777777" w:rsidR="00BC644F" w:rsidRDefault="00BC644F" w:rsidP="00BC644F"/>
    <w:p w14:paraId="5B48B88A" w14:textId="2AC7DD5C" w:rsidR="00E547EA" w:rsidRDefault="00E547EA" w:rsidP="00BC644F"/>
    <w:p w14:paraId="4C24BFB8" w14:textId="38DBC319" w:rsidR="00D15FCD" w:rsidRDefault="00D15FCD" w:rsidP="00BC644F"/>
    <w:p w14:paraId="5B48B8A0" w14:textId="77777777" w:rsidR="00BC644F" w:rsidRPr="00A66AF7" w:rsidRDefault="00BC644F" w:rsidP="00BC644F">
      <w:pPr>
        <w:rPr>
          <w:color w:val="FF0000"/>
        </w:rPr>
      </w:pPr>
    </w:p>
    <w:p w14:paraId="5B48B8A1" w14:textId="28D6EEFD" w:rsidR="00DE1A65" w:rsidRDefault="00DE1A65" w:rsidP="00DE1A65">
      <w:pPr>
        <w:pStyle w:val="Heading2"/>
      </w:pPr>
      <w:bookmarkStart w:id="8" w:name="_Toc458755047"/>
      <w:r>
        <w:t xml:space="preserve">Summary of discussions </w:t>
      </w:r>
      <w:bookmarkEnd w:id="8"/>
    </w:p>
    <w:p w14:paraId="59371C1C" w14:textId="39AC9713" w:rsidR="00BC168D" w:rsidRPr="00DE76B9" w:rsidRDefault="00030EFC" w:rsidP="00BC168D">
      <w:pPr>
        <w:rPr>
          <w:rFonts w:cs="Arial"/>
          <w:sz w:val="22"/>
          <w:szCs w:val="22"/>
        </w:rPr>
      </w:pPr>
      <w:r w:rsidRPr="00DE76B9">
        <w:rPr>
          <w:rFonts w:cs="Arial"/>
          <w:sz w:val="22"/>
          <w:szCs w:val="22"/>
        </w:rPr>
        <w:t>MD began the meeting by explaining HEEs key priorities</w:t>
      </w:r>
      <w:r w:rsidR="00155CEB" w:rsidRPr="00DE76B9">
        <w:rPr>
          <w:rFonts w:cs="Arial"/>
          <w:sz w:val="22"/>
          <w:szCs w:val="22"/>
        </w:rPr>
        <w:t xml:space="preserve"> in order</w:t>
      </w:r>
      <w:r w:rsidRPr="00DE76B9">
        <w:rPr>
          <w:rFonts w:cs="Arial"/>
          <w:sz w:val="22"/>
          <w:szCs w:val="22"/>
        </w:rPr>
        <w:t xml:space="preserve">: safe for patients, quality of the learning environment and increased capacity. </w:t>
      </w:r>
    </w:p>
    <w:p w14:paraId="6FFC8023" w14:textId="44CCA00C" w:rsidR="004657F4" w:rsidRPr="00DE76B9" w:rsidRDefault="004657F4" w:rsidP="00BC168D">
      <w:pPr>
        <w:rPr>
          <w:rFonts w:cs="Arial"/>
          <w:sz w:val="22"/>
          <w:szCs w:val="22"/>
        </w:rPr>
      </w:pPr>
    </w:p>
    <w:p w14:paraId="76E18667" w14:textId="5AB7B828" w:rsidR="00667F17" w:rsidRPr="00DE76B9" w:rsidRDefault="0046151C" w:rsidP="0015770E">
      <w:pPr>
        <w:rPr>
          <w:rFonts w:cs="Arial"/>
          <w:sz w:val="22"/>
          <w:szCs w:val="22"/>
        </w:rPr>
      </w:pPr>
      <w:r w:rsidRPr="00DE76B9">
        <w:rPr>
          <w:rFonts w:cs="Arial"/>
          <w:sz w:val="22"/>
          <w:szCs w:val="22"/>
        </w:rPr>
        <w:t>In advance of this meeting, HEE had met with each individual organisation</w:t>
      </w:r>
      <w:r w:rsidR="002C40E3" w:rsidRPr="00DE76B9">
        <w:rPr>
          <w:rFonts w:cs="Arial"/>
          <w:sz w:val="22"/>
          <w:szCs w:val="22"/>
        </w:rPr>
        <w:t xml:space="preserve"> </w:t>
      </w:r>
      <w:r w:rsidR="00115BC8" w:rsidRPr="00DE76B9">
        <w:rPr>
          <w:rFonts w:cs="Arial"/>
          <w:sz w:val="22"/>
          <w:szCs w:val="22"/>
        </w:rPr>
        <w:t xml:space="preserve">to discuss </w:t>
      </w:r>
      <w:r w:rsidR="00667F17" w:rsidRPr="00DE76B9">
        <w:rPr>
          <w:rFonts w:cs="Arial"/>
          <w:sz w:val="22"/>
          <w:szCs w:val="22"/>
        </w:rPr>
        <w:t xml:space="preserve">issues and concerns.  </w:t>
      </w:r>
      <w:r w:rsidR="00155CEB" w:rsidRPr="00DE76B9">
        <w:rPr>
          <w:rFonts w:cs="Arial"/>
          <w:sz w:val="22"/>
          <w:szCs w:val="22"/>
        </w:rPr>
        <w:t xml:space="preserve">The aim of the individual meetings was to clarify concerns in a safe space and enable an open dialogue to assist in enabling a productive outcome to the combined meeting (this report) </w:t>
      </w:r>
      <w:r w:rsidR="00667F17" w:rsidRPr="00DE76B9">
        <w:rPr>
          <w:rFonts w:cs="Arial"/>
          <w:sz w:val="22"/>
          <w:szCs w:val="22"/>
        </w:rPr>
        <w:t xml:space="preserve">MD outlined a summary of the observations made during those </w:t>
      </w:r>
      <w:r w:rsidR="002B2527" w:rsidRPr="00DE76B9">
        <w:rPr>
          <w:rFonts w:cs="Arial"/>
          <w:sz w:val="22"/>
          <w:szCs w:val="22"/>
        </w:rPr>
        <w:t>meetings:</w:t>
      </w:r>
    </w:p>
    <w:p w14:paraId="7A8F1590" w14:textId="77777777" w:rsidR="00667F17" w:rsidRPr="00DE76B9" w:rsidRDefault="00667F17" w:rsidP="0015770E">
      <w:pPr>
        <w:rPr>
          <w:rFonts w:cs="Arial"/>
          <w:sz w:val="22"/>
          <w:szCs w:val="22"/>
        </w:rPr>
      </w:pPr>
    </w:p>
    <w:p w14:paraId="2B04B494" w14:textId="1CE1A2ED" w:rsidR="0015770E" w:rsidRPr="00DE76B9" w:rsidRDefault="0015770E" w:rsidP="002B2527">
      <w:pPr>
        <w:pStyle w:val="ListParagraph"/>
        <w:numPr>
          <w:ilvl w:val="0"/>
          <w:numId w:val="32"/>
        </w:numPr>
        <w:rPr>
          <w:sz w:val="22"/>
          <w:szCs w:val="22"/>
        </w:rPr>
      </w:pPr>
      <w:r w:rsidRPr="00DE76B9">
        <w:rPr>
          <w:sz w:val="22"/>
          <w:szCs w:val="22"/>
        </w:rPr>
        <w:t xml:space="preserve">The Radiography department at UHP is currently under pressure due to </w:t>
      </w:r>
      <w:r w:rsidR="00155CEB" w:rsidRPr="00DE76B9">
        <w:rPr>
          <w:sz w:val="22"/>
          <w:szCs w:val="22"/>
        </w:rPr>
        <w:t xml:space="preserve">current workforce </w:t>
      </w:r>
      <w:r w:rsidR="000730DE" w:rsidRPr="00DE76B9">
        <w:rPr>
          <w:sz w:val="22"/>
          <w:szCs w:val="22"/>
        </w:rPr>
        <w:t xml:space="preserve">numbers, and whilst appointments have been made to boost numbers, many of these staff </w:t>
      </w:r>
      <w:r w:rsidR="00155CEB" w:rsidRPr="00DE76B9">
        <w:rPr>
          <w:sz w:val="22"/>
          <w:szCs w:val="22"/>
        </w:rPr>
        <w:t xml:space="preserve">have not yet started </w:t>
      </w:r>
      <w:r w:rsidR="000730DE" w:rsidRPr="00DE76B9">
        <w:rPr>
          <w:sz w:val="22"/>
          <w:szCs w:val="22"/>
        </w:rPr>
        <w:t xml:space="preserve">are </w:t>
      </w:r>
      <w:r w:rsidR="00155CEB" w:rsidRPr="00DE76B9">
        <w:rPr>
          <w:sz w:val="22"/>
          <w:szCs w:val="22"/>
        </w:rPr>
        <w:t xml:space="preserve">will be </w:t>
      </w:r>
      <w:r w:rsidR="000730DE" w:rsidRPr="00DE76B9">
        <w:rPr>
          <w:sz w:val="22"/>
          <w:szCs w:val="22"/>
        </w:rPr>
        <w:t xml:space="preserve">new to </w:t>
      </w:r>
      <w:r w:rsidR="00155CEB" w:rsidRPr="00DE76B9">
        <w:rPr>
          <w:sz w:val="22"/>
          <w:szCs w:val="22"/>
        </w:rPr>
        <w:t xml:space="preserve">working in </w:t>
      </w:r>
      <w:r w:rsidR="000730DE" w:rsidRPr="00DE76B9">
        <w:rPr>
          <w:sz w:val="22"/>
          <w:szCs w:val="22"/>
        </w:rPr>
        <w:t xml:space="preserve">the UK </w:t>
      </w:r>
      <w:r w:rsidR="001A00E2" w:rsidRPr="00DE76B9">
        <w:rPr>
          <w:sz w:val="22"/>
          <w:szCs w:val="22"/>
        </w:rPr>
        <w:t>healthcare system or are</w:t>
      </w:r>
      <w:r w:rsidR="006F1D4C" w:rsidRPr="00DE76B9">
        <w:rPr>
          <w:sz w:val="22"/>
          <w:szCs w:val="22"/>
        </w:rPr>
        <w:t xml:space="preserve"> newly quali</w:t>
      </w:r>
      <w:r w:rsidR="001A00E2" w:rsidRPr="00DE76B9">
        <w:rPr>
          <w:sz w:val="22"/>
          <w:szCs w:val="22"/>
        </w:rPr>
        <w:t>f</w:t>
      </w:r>
      <w:r w:rsidR="006F1D4C" w:rsidRPr="00DE76B9">
        <w:rPr>
          <w:sz w:val="22"/>
          <w:szCs w:val="22"/>
        </w:rPr>
        <w:t>ied</w:t>
      </w:r>
      <w:r w:rsidR="001A00E2" w:rsidRPr="00DE76B9">
        <w:rPr>
          <w:sz w:val="22"/>
          <w:szCs w:val="22"/>
        </w:rPr>
        <w:t xml:space="preserve"> </w:t>
      </w:r>
      <w:r w:rsidR="001A00E2" w:rsidRPr="00DE76B9">
        <w:rPr>
          <w:sz w:val="22"/>
          <w:szCs w:val="22"/>
        </w:rPr>
        <w:lastRenderedPageBreak/>
        <w:t>radiographers having recently completed training within the UK</w:t>
      </w:r>
      <w:r w:rsidR="006F1D4C" w:rsidRPr="00DE76B9">
        <w:rPr>
          <w:sz w:val="22"/>
          <w:szCs w:val="22"/>
        </w:rPr>
        <w:t xml:space="preserve">; </w:t>
      </w:r>
      <w:r w:rsidRPr="00DE76B9">
        <w:rPr>
          <w:sz w:val="22"/>
          <w:szCs w:val="22"/>
        </w:rPr>
        <w:t>this</w:t>
      </w:r>
      <w:r w:rsidR="001A00E2" w:rsidRPr="00DE76B9">
        <w:rPr>
          <w:sz w:val="22"/>
          <w:szCs w:val="22"/>
        </w:rPr>
        <w:t>, at least in the short term,</w:t>
      </w:r>
      <w:r w:rsidRPr="00DE76B9">
        <w:rPr>
          <w:sz w:val="22"/>
          <w:szCs w:val="22"/>
        </w:rPr>
        <w:t xml:space="preserve"> affect</w:t>
      </w:r>
      <w:r w:rsidR="001A00E2" w:rsidRPr="00DE76B9">
        <w:rPr>
          <w:sz w:val="22"/>
          <w:szCs w:val="22"/>
        </w:rPr>
        <w:t>s the departments</w:t>
      </w:r>
      <w:r w:rsidRPr="00DE76B9">
        <w:rPr>
          <w:sz w:val="22"/>
          <w:szCs w:val="22"/>
        </w:rPr>
        <w:t xml:space="preserve"> capacity for </w:t>
      </w:r>
      <w:r w:rsidR="001A00E2" w:rsidRPr="00DE76B9">
        <w:rPr>
          <w:sz w:val="22"/>
          <w:szCs w:val="22"/>
        </w:rPr>
        <w:t xml:space="preserve">placing </w:t>
      </w:r>
      <w:r w:rsidRPr="00DE76B9">
        <w:rPr>
          <w:sz w:val="22"/>
          <w:szCs w:val="22"/>
        </w:rPr>
        <w:t xml:space="preserve">Diagnostic Radiography </w:t>
      </w:r>
      <w:r w:rsidR="001A00E2" w:rsidRPr="00DE76B9">
        <w:rPr>
          <w:sz w:val="22"/>
          <w:szCs w:val="22"/>
        </w:rPr>
        <w:t xml:space="preserve">undergraduate </w:t>
      </w:r>
      <w:r w:rsidRPr="00DE76B9">
        <w:rPr>
          <w:sz w:val="22"/>
          <w:szCs w:val="22"/>
        </w:rPr>
        <w:t>students.</w:t>
      </w:r>
    </w:p>
    <w:p w14:paraId="1811E023" w14:textId="2E644B3C" w:rsidR="002B2527" w:rsidRPr="00DE76B9" w:rsidRDefault="00F20ED6" w:rsidP="002B2527">
      <w:pPr>
        <w:pStyle w:val="ListParagraph"/>
        <w:numPr>
          <w:ilvl w:val="0"/>
          <w:numId w:val="32"/>
        </w:numPr>
        <w:rPr>
          <w:sz w:val="22"/>
          <w:szCs w:val="22"/>
        </w:rPr>
      </w:pPr>
      <w:r>
        <w:rPr>
          <w:sz w:val="22"/>
          <w:szCs w:val="22"/>
        </w:rPr>
        <w:t>UHP</w:t>
      </w:r>
      <w:r w:rsidR="002B2527" w:rsidRPr="00DE76B9">
        <w:rPr>
          <w:sz w:val="22"/>
          <w:szCs w:val="22"/>
        </w:rPr>
        <w:t xml:space="preserve"> has a strong education ethos.  </w:t>
      </w:r>
      <w:r w:rsidR="00FF511C" w:rsidRPr="00DE76B9">
        <w:rPr>
          <w:sz w:val="22"/>
          <w:szCs w:val="22"/>
        </w:rPr>
        <w:t xml:space="preserve">Once the </w:t>
      </w:r>
      <w:r w:rsidR="001A00E2" w:rsidRPr="00DE76B9">
        <w:rPr>
          <w:sz w:val="22"/>
          <w:szCs w:val="22"/>
        </w:rPr>
        <w:t xml:space="preserve">newly appointed </w:t>
      </w:r>
      <w:r w:rsidR="00FF511C" w:rsidRPr="00DE76B9">
        <w:rPr>
          <w:sz w:val="22"/>
          <w:szCs w:val="22"/>
        </w:rPr>
        <w:t xml:space="preserve">workforce within the Radiography department has </w:t>
      </w:r>
      <w:r w:rsidR="003A70BA" w:rsidRPr="00DE76B9">
        <w:rPr>
          <w:sz w:val="22"/>
          <w:szCs w:val="22"/>
        </w:rPr>
        <w:t xml:space="preserve">been </w:t>
      </w:r>
      <w:r w:rsidR="001A00E2" w:rsidRPr="00DE76B9">
        <w:rPr>
          <w:sz w:val="22"/>
          <w:szCs w:val="22"/>
        </w:rPr>
        <w:t>assimilated</w:t>
      </w:r>
      <w:r w:rsidR="00FF511C" w:rsidRPr="00DE76B9">
        <w:rPr>
          <w:sz w:val="22"/>
          <w:szCs w:val="22"/>
        </w:rPr>
        <w:t xml:space="preserve">, </w:t>
      </w:r>
      <w:r w:rsidR="009C2900" w:rsidRPr="00DE76B9">
        <w:rPr>
          <w:sz w:val="22"/>
          <w:szCs w:val="22"/>
        </w:rPr>
        <w:t>an expansion of placement capacity would be feasible.</w:t>
      </w:r>
    </w:p>
    <w:p w14:paraId="116670B6" w14:textId="77777777" w:rsidR="008228F6" w:rsidRPr="00DE76B9" w:rsidRDefault="0015770E" w:rsidP="008228F6">
      <w:pPr>
        <w:pStyle w:val="ListParagraph"/>
        <w:numPr>
          <w:ilvl w:val="0"/>
          <w:numId w:val="32"/>
        </w:numPr>
        <w:rPr>
          <w:sz w:val="22"/>
          <w:szCs w:val="22"/>
        </w:rPr>
      </w:pPr>
      <w:r w:rsidRPr="00DE76B9">
        <w:rPr>
          <w:sz w:val="22"/>
          <w:szCs w:val="22"/>
        </w:rPr>
        <w:t xml:space="preserve">Communication channels are not as clear and robust as they </w:t>
      </w:r>
      <w:r w:rsidR="001A00E2" w:rsidRPr="00DE76B9">
        <w:rPr>
          <w:sz w:val="22"/>
          <w:szCs w:val="22"/>
        </w:rPr>
        <w:t>sh</w:t>
      </w:r>
      <w:r w:rsidRPr="00DE76B9">
        <w:rPr>
          <w:sz w:val="22"/>
          <w:szCs w:val="22"/>
        </w:rPr>
        <w:t>ould be between the 3 organisations involved with placing/hosting students in practice.</w:t>
      </w:r>
      <w:r w:rsidR="001A00E2" w:rsidRPr="00DE76B9">
        <w:rPr>
          <w:sz w:val="22"/>
          <w:szCs w:val="22"/>
        </w:rPr>
        <w:t xml:space="preserve"> This is clearly leading to frustration admitted to by all parties</w:t>
      </w:r>
      <w:r w:rsidR="008228F6" w:rsidRPr="00DE76B9">
        <w:rPr>
          <w:sz w:val="22"/>
          <w:szCs w:val="22"/>
        </w:rPr>
        <w:t>.</w:t>
      </w:r>
    </w:p>
    <w:p w14:paraId="37202867" w14:textId="155BA10B" w:rsidR="008228F6" w:rsidRPr="00DE76B9" w:rsidRDefault="008228F6" w:rsidP="008228F6">
      <w:pPr>
        <w:pStyle w:val="ListParagraph"/>
        <w:numPr>
          <w:ilvl w:val="0"/>
          <w:numId w:val="32"/>
        </w:numPr>
        <w:rPr>
          <w:sz w:val="22"/>
          <w:szCs w:val="22"/>
        </w:rPr>
      </w:pPr>
      <w:r w:rsidRPr="00DE76B9">
        <w:rPr>
          <w:sz w:val="22"/>
          <w:szCs w:val="22"/>
        </w:rPr>
        <w:t>Th</w:t>
      </w:r>
      <w:r w:rsidR="0015770E" w:rsidRPr="00DE76B9">
        <w:rPr>
          <w:sz w:val="22"/>
          <w:szCs w:val="22"/>
        </w:rPr>
        <w:t xml:space="preserve">e two Universities placing students in </w:t>
      </w:r>
      <w:r w:rsidR="00F20ED6">
        <w:rPr>
          <w:sz w:val="22"/>
          <w:szCs w:val="22"/>
        </w:rPr>
        <w:t>UHP</w:t>
      </w:r>
      <w:r w:rsidR="0015770E" w:rsidRPr="00DE76B9">
        <w:rPr>
          <w:sz w:val="22"/>
          <w:szCs w:val="22"/>
        </w:rPr>
        <w:t xml:space="preserve"> have different philosophies for the</w:t>
      </w:r>
      <w:r w:rsidR="001A00E2" w:rsidRPr="00DE76B9">
        <w:rPr>
          <w:sz w:val="22"/>
          <w:szCs w:val="22"/>
        </w:rPr>
        <w:t xml:space="preserve"> delivery of their</w:t>
      </w:r>
      <w:r w:rsidR="0015770E" w:rsidRPr="00DE76B9">
        <w:rPr>
          <w:sz w:val="22"/>
          <w:szCs w:val="22"/>
        </w:rPr>
        <w:t xml:space="preserve"> course</w:t>
      </w:r>
      <w:r w:rsidR="001A00E2" w:rsidRPr="00DE76B9">
        <w:rPr>
          <w:sz w:val="22"/>
          <w:szCs w:val="22"/>
        </w:rPr>
        <w:t>s</w:t>
      </w:r>
      <w:r w:rsidRPr="00DE76B9">
        <w:rPr>
          <w:sz w:val="22"/>
          <w:szCs w:val="22"/>
        </w:rPr>
        <w:t xml:space="preserve"> This has implications for expectations of placement experience This creates a layer of complexity for the provider UHP in respect of practicalities such as capacity, rotas and the pastoral aspects of the learners experience.</w:t>
      </w:r>
    </w:p>
    <w:p w14:paraId="47FCA64A" w14:textId="4C95BDCD" w:rsidR="0015770E" w:rsidRPr="00DE76B9" w:rsidRDefault="0015770E" w:rsidP="008228F6">
      <w:pPr>
        <w:pStyle w:val="ListParagraph"/>
        <w:numPr>
          <w:ilvl w:val="0"/>
          <w:numId w:val="0"/>
        </w:numPr>
        <w:ind w:left="720"/>
        <w:rPr>
          <w:sz w:val="22"/>
          <w:szCs w:val="22"/>
        </w:rPr>
      </w:pPr>
    </w:p>
    <w:p w14:paraId="05C5F6E5" w14:textId="3AB83820" w:rsidR="009E12D9" w:rsidRPr="00DE76B9" w:rsidRDefault="009E12D9" w:rsidP="009E12D9">
      <w:pPr>
        <w:rPr>
          <w:rFonts w:cs="Arial"/>
          <w:sz w:val="22"/>
          <w:szCs w:val="22"/>
        </w:rPr>
      </w:pPr>
      <w:r w:rsidRPr="00DE76B9">
        <w:rPr>
          <w:rFonts w:cs="Arial"/>
          <w:sz w:val="22"/>
          <w:szCs w:val="22"/>
        </w:rPr>
        <w:t>All those present agreed the above as a fair summary.</w:t>
      </w:r>
    </w:p>
    <w:p w14:paraId="484DF0CD" w14:textId="711BC5C1" w:rsidR="00880ABA" w:rsidRPr="00DE76B9" w:rsidRDefault="00880ABA" w:rsidP="009E12D9">
      <w:pPr>
        <w:rPr>
          <w:rFonts w:cs="Arial"/>
          <w:sz w:val="22"/>
          <w:szCs w:val="22"/>
        </w:rPr>
      </w:pPr>
    </w:p>
    <w:p w14:paraId="517E82C9" w14:textId="7C14180D" w:rsidR="00880ABA" w:rsidRPr="00DE76B9" w:rsidRDefault="00880ABA" w:rsidP="009E12D9">
      <w:pPr>
        <w:rPr>
          <w:rFonts w:cs="Arial"/>
          <w:sz w:val="22"/>
          <w:szCs w:val="22"/>
        </w:rPr>
      </w:pPr>
      <w:r w:rsidRPr="00DE76B9">
        <w:rPr>
          <w:rFonts w:cs="Arial"/>
          <w:b/>
          <w:bCs/>
          <w:sz w:val="22"/>
          <w:szCs w:val="22"/>
          <w:u w:val="single"/>
        </w:rPr>
        <w:t>Numbers for September intake</w:t>
      </w:r>
      <w:r w:rsidRPr="00DE76B9">
        <w:rPr>
          <w:rFonts w:cs="Arial"/>
          <w:sz w:val="22"/>
          <w:szCs w:val="22"/>
        </w:rPr>
        <w:t>:</w:t>
      </w:r>
    </w:p>
    <w:p w14:paraId="29EB9858" w14:textId="4E4037EB" w:rsidR="00880ABA" w:rsidRPr="00DE76B9" w:rsidRDefault="00880ABA" w:rsidP="009E12D9">
      <w:pPr>
        <w:rPr>
          <w:rFonts w:cs="Arial"/>
          <w:sz w:val="22"/>
          <w:szCs w:val="22"/>
        </w:rPr>
      </w:pPr>
    </w:p>
    <w:p w14:paraId="10AE04F2" w14:textId="28F0CCA6" w:rsidR="00880ABA" w:rsidRPr="00DE76B9" w:rsidRDefault="00D16062" w:rsidP="009E12D9">
      <w:pPr>
        <w:rPr>
          <w:rFonts w:cs="Arial"/>
          <w:sz w:val="22"/>
          <w:szCs w:val="22"/>
        </w:rPr>
      </w:pPr>
      <w:r w:rsidRPr="00DE76B9">
        <w:rPr>
          <w:rFonts w:cs="Arial"/>
          <w:sz w:val="22"/>
          <w:szCs w:val="22"/>
        </w:rPr>
        <w:t xml:space="preserve">The number of learners due to undertake a placement at </w:t>
      </w:r>
      <w:r w:rsidR="008228F6" w:rsidRPr="00DE76B9">
        <w:rPr>
          <w:rFonts w:cs="Arial"/>
          <w:sz w:val="22"/>
          <w:szCs w:val="22"/>
        </w:rPr>
        <w:t>UHP (</w:t>
      </w:r>
      <w:r w:rsidRPr="00DE76B9">
        <w:rPr>
          <w:rFonts w:cs="Arial"/>
          <w:sz w:val="22"/>
          <w:szCs w:val="22"/>
        </w:rPr>
        <w:t>Derriford</w:t>
      </w:r>
      <w:r w:rsidR="008228F6" w:rsidRPr="00DE76B9">
        <w:rPr>
          <w:rFonts w:cs="Arial"/>
          <w:sz w:val="22"/>
          <w:szCs w:val="22"/>
        </w:rPr>
        <w:t xml:space="preserve"> and community sites)</w:t>
      </w:r>
      <w:r w:rsidRPr="00DE76B9">
        <w:rPr>
          <w:rFonts w:cs="Arial"/>
          <w:sz w:val="22"/>
          <w:szCs w:val="22"/>
        </w:rPr>
        <w:t xml:space="preserve"> from September 2020 was confirmed as follows:</w:t>
      </w:r>
    </w:p>
    <w:p w14:paraId="24048289" w14:textId="5C107625" w:rsidR="00D16062" w:rsidRPr="00DE76B9" w:rsidRDefault="00D16062" w:rsidP="009E12D9">
      <w:pPr>
        <w:rPr>
          <w:rFonts w:cs="Arial"/>
          <w:sz w:val="22"/>
          <w:szCs w:val="22"/>
        </w:rPr>
      </w:pPr>
    </w:p>
    <w:p w14:paraId="5790EE43" w14:textId="006E4478" w:rsidR="00545CEC" w:rsidRPr="00545CEC" w:rsidRDefault="00D16062" w:rsidP="00545CEC">
      <w:pPr>
        <w:pStyle w:val="ListParagraph"/>
        <w:numPr>
          <w:ilvl w:val="0"/>
          <w:numId w:val="35"/>
        </w:numPr>
        <w:rPr>
          <w:rFonts w:eastAsia="MS Mincho"/>
          <w:sz w:val="22"/>
          <w:szCs w:val="22"/>
        </w:rPr>
      </w:pPr>
      <w:r w:rsidRPr="00DE76B9">
        <w:rPr>
          <w:sz w:val="22"/>
          <w:szCs w:val="22"/>
        </w:rPr>
        <w:t>Ex</w:t>
      </w:r>
      <w:r w:rsidR="00E069F0" w:rsidRPr="00DE76B9">
        <w:rPr>
          <w:sz w:val="22"/>
          <w:szCs w:val="22"/>
        </w:rPr>
        <w:t xml:space="preserve">eter x </w:t>
      </w:r>
      <w:r w:rsidR="00545CEC" w:rsidRPr="00545CEC">
        <w:rPr>
          <w:rFonts w:eastAsia="MS Mincho"/>
          <w:sz w:val="22"/>
          <w:szCs w:val="22"/>
        </w:rPr>
        <w:t xml:space="preserve">11 (reduced from 12 </w:t>
      </w:r>
      <w:proofErr w:type="gramStart"/>
      <w:r w:rsidR="00545CEC" w:rsidRPr="00545CEC">
        <w:rPr>
          <w:rFonts w:eastAsia="MS Mincho"/>
          <w:sz w:val="22"/>
          <w:szCs w:val="22"/>
        </w:rPr>
        <w:t>in light of</w:t>
      </w:r>
      <w:proofErr w:type="gramEnd"/>
      <w:r w:rsidR="00545CEC" w:rsidRPr="00545CEC">
        <w:rPr>
          <w:rFonts w:eastAsia="MS Mincho"/>
          <w:sz w:val="22"/>
          <w:szCs w:val="22"/>
        </w:rPr>
        <w:t xml:space="preserve"> current pressures), but Exeter are recruiting to fill 12 places in future cohorts.</w:t>
      </w:r>
    </w:p>
    <w:p w14:paraId="2329D268" w14:textId="7D5438E6" w:rsidR="00E069F0" w:rsidRDefault="00E069F0" w:rsidP="00D16062">
      <w:pPr>
        <w:pStyle w:val="ListParagraph"/>
        <w:numPr>
          <w:ilvl w:val="0"/>
          <w:numId w:val="33"/>
        </w:numPr>
        <w:rPr>
          <w:sz w:val="22"/>
          <w:szCs w:val="22"/>
        </w:rPr>
      </w:pPr>
      <w:r w:rsidRPr="00DE76B9">
        <w:rPr>
          <w:sz w:val="22"/>
          <w:szCs w:val="22"/>
        </w:rPr>
        <w:t>Plymouth x 8</w:t>
      </w:r>
      <w:r w:rsidR="0049274C" w:rsidRPr="00DE76B9">
        <w:rPr>
          <w:sz w:val="22"/>
          <w:szCs w:val="22"/>
        </w:rPr>
        <w:t xml:space="preserve"> </w:t>
      </w:r>
      <w:r w:rsidR="008228F6" w:rsidRPr="00DE76B9">
        <w:rPr>
          <w:sz w:val="22"/>
          <w:szCs w:val="22"/>
        </w:rPr>
        <w:t>throughout the year with 1</w:t>
      </w:r>
      <w:r w:rsidR="0049274C" w:rsidRPr="00DE76B9">
        <w:rPr>
          <w:sz w:val="22"/>
          <w:szCs w:val="22"/>
        </w:rPr>
        <w:t xml:space="preserve">0 </w:t>
      </w:r>
      <w:r w:rsidR="008228F6" w:rsidRPr="00DE76B9">
        <w:rPr>
          <w:sz w:val="22"/>
          <w:szCs w:val="22"/>
        </w:rPr>
        <w:t>for a period in the latter part of the academic year</w:t>
      </w:r>
      <w:r w:rsidR="00F31E1F">
        <w:rPr>
          <w:sz w:val="22"/>
          <w:szCs w:val="22"/>
        </w:rPr>
        <w:t xml:space="preserve"> (reduced to fit in with </w:t>
      </w:r>
      <w:proofErr w:type="spellStart"/>
      <w:r w:rsidR="00F31E1F">
        <w:rPr>
          <w:sz w:val="22"/>
          <w:szCs w:val="22"/>
        </w:rPr>
        <w:t>UoE</w:t>
      </w:r>
      <w:proofErr w:type="spellEnd"/>
      <w:r w:rsidR="00F31E1F">
        <w:rPr>
          <w:sz w:val="22"/>
          <w:szCs w:val="22"/>
        </w:rPr>
        <w:t xml:space="preserve"> adjusted</w:t>
      </w:r>
      <w:r w:rsidR="00135D00">
        <w:rPr>
          <w:sz w:val="22"/>
          <w:szCs w:val="22"/>
        </w:rPr>
        <w:t xml:space="preserve"> rota)</w:t>
      </w:r>
    </w:p>
    <w:p w14:paraId="48858364" w14:textId="59701794" w:rsidR="00CF24D8" w:rsidRPr="00CF24D8" w:rsidRDefault="00CF24D8" w:rsidP="00CF24D8">
      <w:pPr>
        <w:rPr>
          <w:sz w:val="22"/>
          <w:szCs w:val="22"/>
        </w:rPr>
      </w:pPr>
      <w:r w:rsidRPr="00CF24D8">
        <w:rPr>
          <w:sz w:val="22"/>
          <w:szCs w:val="22"/>
        </w:rPr>
        <w:t xml:space="preserve">The University of Exeter has historically placed 12 students in UHP and wish to continue with this number because recruitment for 2020/21 has already been based on this number.  UHP indicated that 8 placements have been offered to </w:t>
      </w:r>
      <w:proofErr w:type="spellStart"/>
      <w:r w:rsidRPr="00CF24D8">
        <w:rPr>
          <w:sz w:val="22"/>
          <w:szCs w:val="22"/>
        </w:rPr>
        <w:t>UoP</w:t>
      </w:r>
      <w:proofErr w:type="spellEnd"/>
      <w:r w:rsidRPr="00CF24D8">
        <w:rPr>
          <w:sz w:val="22"/>
          <w:szCs w:val="22"/>
        </w:rPr>
        <w:t xml:space="preserve"> in addition to the 12 placements accessed by the </w:t>
      </w:r>
      <w:proofErr w:type="spellStart"/>
      <w:r w:rsidRPr="00CF24D8">
        <w:rPr>
          <w:sz w:val="22"/>
          <w:szCs w:val="22"/>
        </w:rPr>
        <w:t>UoE</w:t>
      </w:r>
      <w:proofErr w:type="spellEnd"/>
      <w:r w:rsidRPr="00CF24D8">
        <w:rPr>
          <w:sz w:val="22"/>
          <w:szCs w:val="22"/>
        </w:rPr>
        <w:t xml:space="preserve">.  UHP were clear that the 8 placements offered to </w:t>
      </w:r>
      <w:proofErr w:type="spellStart"/>
      <w:r w:rsidRPr="00CF24D8">
        <w:rPr>
          <w:sz w:val="22"/>
          <w:szCs w:val="22"/>
        </w:rPr>
        <w:t>UoP</w:t>
      </w:r>
      <w:proofErr w:type="spellEnd"/>
      <w:r w:rsidRPr="00CF24D8">
        <w:rPr>
          <w:sz w:val="22"/>
          <w:szCs w:val="22"/>
        </w:rPr>
        <w:t xml:space="preserve"> were for 8 individual students.  </w:t>
      </w:r>
    </w:p>
    <w:p w14:paraId="3C4565E7" w14:textId="77777777" w:rsidR="00CF24D8" w:rsidRPr="00CF24D8" w:rsidRDefault="00CF24D8" w:rsidP="00CF24D8">
      <w:pPr>
        <w:rPr>
          <w:sz w:val="22"/>
          <w:szCs w:val="22"/>
        </w:rPr>
      </w:pPr>
    </w:p>
    <w:p w14:paraId="3E6ECCB5" w14:textId="07296C7C" w:rsidR="00E069F0" w:rsidRPr="00DE76B9" w:rsidRDefault="00B366A3" w:rsidP="00E069F0">
      <w:pPr>
        <w:rPr>
          <w:rFonts w:cs="Arial"/>
          <w:sz w:val="22"/>
          <w:szCs w:val="22"/>
        </w:rPr>
      </w:pPr>
      <w:proofErr w:type="spellStart"/>
      <w:r w:rsidRPr="00DE76B9">
        <w:rPr>
          <w:rFonts w:cs="Arial"/>
          <w:sz w:val="22"/>
          <w:szCs w:val="22"/>
        </w:rPr>
        <w:t>UoP</w:t>
      </w:r>
      <w:proofErr w:type="spellEnd"/>
      <w:r w:rsidRPr="00DE76B9">
        <w:rPr>
          <w:rFonts w:cs="Arial"/>
          <w:sz w:val="22"/>
          <w:szCs w:val="22"/>
        </w:rPr>
        <w:t xml:space="preserve"> explained that students will be allocated to a cluster.  </w:t>
      </w:r>
      <w:r w:rsidR="008D38B3" w:rsidRPr="00DE76B9">
        <w:rPr>
          <w:rFonts w:cs="Arial"/>
          <w:sz w:val="22"/>
          <w:szCs w:val="22"/>
        </w:rPr>
        <w:t xml:space="preserve">Whilst 10 individual students are </w:t>
      </w:r>
      <w:r w:rsidR="00FF60A3" w:rsidRPr="00DE76B9">
        <w:rPr>
          <w:rFonts w:cs="Arial"/>
          <w:sz w:val="22"/>
          <w:szCs w:val="22"/>
        </w:rPr>
        <w:t xml:space="preserve">on the rota, they will not all be on placement at </w:t>
      </w:r>
      <w:r w:rsidR="00F20ED6">
        <w:rPr>
          <w:rFonts w:cs="Arial"/>
          <w:sz w:val="22"/>
          <w:szCs w:val="22"/>
        </w:rPr>
        <w:t>UHP</w:t>
      </w:r>
      <w:r w:rsidR="00FF60A3" w:rsidRPr="00DE76B9">
        <w:rPr>
          <w:rFonts w:cs="Arial"/>
          <w:sz w:val="22"/>
          <w:szCs w:val="22"/>
        </w:rPr>
        <w:t xml:space="preserve"> at the same </w:t>
      </w:r>
      <w:r w:rsidR="007631EE" w:rsidRPr="00DE76B9">
        <w:rPr>
          <w:rFonts w:cs="Arial"/>
          <w:sz w:val="22"/>
          <w:szCs w:val="22"/>
        </w:rPr>
        <w:t>time but</w:t>
      </w:r>
      <w:r w:rsidR="00D1199E" w:rsidRPr="00DE76B9">
        <w:rPr>
          <w:rFonts w:cs="Arial"/>
          <w:sz w:val="22"/>
          <w:szCs w:val="22"/>
        </w:rPr>
        <w:t xml:space="preserve"> will </w:t>
      </w:r>
      <w:r w:rsidR="003A70BA" w:rsidRPr="00DE76B9">
        <w:rPr>
          <w:rFonts w:cs="Arial"/>
          <w:sz w:val="22"/>
          <w:szCs w:val="22"/>
        </w:rPr>
        <w:t xml:space="preserve">use </w:t>
      </w:r>
      <w:r w:rsidR="009D04F9" w:rsidRPr="00DE76B9">
        <w:rPr>
          <w:rFonts w:cs="Arial"/>
          <w:sz w:val="22"/>
          <w:szCs w:val="22"/>
        </w:rPr>
        <w:t xml:space="preserve">the Trust </w:t>
      </w:r>
      <w:r w:rsidR="003A70BA" w:rsidRPr="00DE76B9">
        <w:rPr>
          <w:rFonts w:cs="Arial"/>
          <w:sz w:val="22"/>
          <w:szCs w:val="22"/>
        </w:rPr>
        <w:t xml:space="preserve">for short modules </w:t>
      </w:r>
      <w:r w:rsidR="004A1A10" w:rsidRPr="00DE76B9">
        <w:rPr>
          <w:rFonts w:cs="Arial"/>
          <w:sz w:val="22"/>
          <w:szCs w:val="22"/>
        </w:rPr>
        <w:t>to access areas th</w:t>
      </w:r>
      <w:r w:rsidR="008228F6" w:rsidRPr="00DE76B9">
        <w:rPr>
          <w:rFonts w:cs="Arial"/>
          <w:sz w:val="22"/>
          <w:szCs w:val="22"/>
        </w:rPr>
        <w:t>at other providers are unable to provide experience of</w:t>
      </w:r>
      <w:r w:rsidR="008333C1" w:rsidRPr="00DE76B9">
        <w:rPr>
          <w:rFonts w:cs="Arial"/>
          <w:sz w:val="22"/>
          <w:szCs w:val="22"/>
        </w:rPr>
        <w:t>.</w:t>
      </w:r>
    </w:p>
    <w:p w14:paraId="087EF246" w14:textId="09211B6F" w:rsidR="008333C1" w:rsidRPr="00DE76B9" w:rsidRDefault="008333C1" w:rsidP="00E069F0">
      <w:pPr>
        <w:rPr>
          <w:rFonts w:cs="Arial"/>
          <w:sz w:val="22"/>
          <w:szCs w:val="22"/>
        </w:rPr>
      </w:pPr>
    </w:p>
    <w:p w14:paraId="5626270C" w14:textId="10A51F14" w:rsidR="008333C1" w:rsidRPr="00DE76B9" w:rsidRDefault="008333C1" w:rsidP="00E069F0">
      <w:pPr>
        <w:rPr>
          <w:rFonts w:cs="Arial"/>
          <w:sz w:val="22"/>
          <w:szCs w:val="22"/>
        </w:rPr>
      </w:pPr>
      <w:r w:rsidRPr="00DE76B9">
        <w:rPr>
          <w:rFonts w:cs="Arial"/>
          <w:sz w:val="22"/>
          <w:szCs w:val="22"/>
        </w:rPr>
        <w:t xml:space="preserve">UHP expressed that whilst not all students will be on placement </w:t>
      </w:r>
      <w:r w:rsidR="00742DC3">
        <w:rPr>
          <w:rFonts w:cs="Arial"/>
          <w:sz w:val="22"/>
          <w:szCs w:val="22"/>
        </w:rPr>
        <w:t>in Derriford</w:t>
      </w:r>
      <w:r w:rsidR="00FB2C51" w:rsidRPr="00DE76B9">
        <w:rPr>
          <w:rFonts w:cs="Arial"/>
          <w:sz w:val="22"/>
          <w:szCs w:val="22"/>
        </w:rPr>
        <w:t xml:space="preserve"> at once, they will still be </w:t>
      </w:r>
      <w:r w:rsidR="008228F6" w:rsidRPr="00DE76B9">
        <w:rPr>
          <w:rFonts w:cs="Arial"/>
          <w:sz w:val="22"/>
          <w:szCs w:val="22"/>
        </w:rPr>
        <w:t xml:space="preserve">under the umbrella of UHP and therefore have a </w:t>
      </w:r>
      <w:r w:rsidR="00FB2C51" w:rsidRPr="00DE76B9">
        <w:rPr>
          <w:rFonts w:cs="Arial"/>
          <w:sz w:val="22"/>
          <w:szCs w:val="22"/>
        </w:rPr>
        <w:t>responsib</w:t>
      </w:r>
      <w:r w:rsidR="008228F6" w:rsidRPr="00DE76B9">
        <w:rPr>
          <w:rFonts w:cs="Arial"/>
          <w:sz w:val="22"/>
          <w:szCs w:val="22"/>
        </w:rPr>
        <w:t>ility</w:t>
      </w:r>
      <w:r w:rsidR="00FB2C51" w:rsidRPr="00DE76B9">
        <w:rPr>
          <w:rFonts w:cs="Arial"/>
          <w:sz w:val="22"/>
          <w:szCs w:val="22"/>
        </w:rPr>
        <w:t xml:space="preserve"> for pastoral care, induction etc as they view placements</w:t>
      </w:r>
      <w:r w:rsidR="008228F6" w:rsidRPr="00DE76B9">
        <w:rPr>
          <w:rFonts w:cs="Arial"/>
          <w:sz w:val="22"/>
          <w:szCs w:val="22"/>
        </w:rPr>
        <w:t xml:space="preserve"> in this respect</w:t>
      </w:r>
      <w:r w:rsidR="00F61C16" w:rsidRPr="00DE76B9">
        <w:rPr>
          <w:rFonts w:cs="Arial"/>
          <w:sz w:val="22"/>
          <w:szCs w:val="22"/>
        </w:rPr>
        <w:t>.  UHP confirmed they have agreed to 8 students from September.</w:t>
      </w:r>
      <w:r w:rsidR="001D5A70" w:rsidRPr="00DE76B9">
        <w:rPr>
          <w:rFonts w:cs="Arial"/>
          <w:sz w:val="22"/>
          <w:szCs w:val="22"/>
        </w:rPr>
        <w:t xml:space="preserve">  There is no </w:t>
      </w:r>
      <w:r w:rsidR="008228F6" w:rsidRPr="00DE76B9">
        <w:rPr>
          <w:rFonts w:cs="Arial"/>
          <w:sz w:val="22"/>
          <w:szCs w:val="22"/>
        </w:rPr>
        <w:t>formal</w:t>
      </w:r>
      <w:r w:rsidR="001D5A70" w:rsidRPr="00DE76B9">
        <w:rPr>
          <w:rFonts w:cs="Arial"/>
          <w:sz w:val="22"/>
          <w:szCs w:val="22"/>
        </w:rPr>
        <w:t xml:space="preserve"> agreement between </w:t>
      </w:r>
      <w:r w:rsidR="00742DC3">
        <w:rPr>
          <w:rFonts w:cs="Arial"/>
          <w:sz w:val="22"/>
          <w:szCs w:val="22"/>
        </w:rPr>
        <w:t>UHP</w:t>
      </w:r>
      <w:r w:rsidR="001D5A70" w:rsidRPr="00DE76B9">
        <w:rPr>
          <w:rFonts w:cs="Arial"/>
          <w:sz w:val="22"/>
          <w:szCs w:val="22"/>
        </w:rPr>
        <w:t xml:space="preserve"> and </w:t>
      </w:r>
      <w:proofErr w:type="spellStart"/>
      <w:r w:rsidR="001D5A70" w:rsidRPr="00DE76B9">
        <w:rPr>
          <w:rFonts w:cs="Arial"/>
          <w:sz w:val="22"/>
          <w:szCs w:val="22"/>
        </w:rPr>
        <w:t>UoP</w:t>
      </w:r>
      <w:proofErr w:type="spellEnd"/>
      <w:r w:rsidR="001D5A70" w:rsidRPr="00DE76B9">
        <w:rPr>
          <w:rFonts w:cs="Arial"/>
          <w:sz w:val="22"/>
          <w:szCs w:val="22"/>
        </w:rPr>
        <w:t xml:space="preserve"> in terms of expected numbers for student placements.</w:t>
      </w:r>
    </w:p>
    <w:p w14:paraId="0C4ECCD0" w14:textId="4613EFBA" w:rsidR="00ED1B8C" w:rsidRPr="00DE76B9" w:rsidRDefault="00ED1B8C" w:rsidP="00E069F0">
      <w:pPr>
        <w:rPr>
          <w:rFonts w:cs="Arial"/>
          <w:sz w:val="22"/>
          <w:szCs w:val="22"/>
        </w:rPr>
      </w:pPr>
    </w:p>
    <w:p w14:paraId="05E08AD5" w14:textId="1E524F29" w:rsidR="00ED1B8C" w:rsidRPr="00DE76B9" w:rsidRDefault="00ED1B8C" w:rsidP="00E069F0">
      <w:pPr>
        <w:rPr>
          <w:rFonts w:cs="Arial"/>
          <w:sz w:val="22"/>
          <w:szCs w:val="22"/>
        </w:rPr>
      </w:pPr>
      <w:proofErr w:type="spellStart"/>
      <w:r w:rsidRPr="00DE76B9">
        <w:rPr>
          <w:rFonts w:cs="Arial"/>
          <w:sz w:val="22"/>
          <w:szCs w:val="22"/>
        </w:rPr>
        <w:t>UoP</w:t>
      </w:r>
      <w:proofErr w:type="spellEnd"/>
      <w:r w:rsidRPr="00DE76B9">
        <w:rPr>
          <w:rFonts w:cs="Arial"/>
          <w:sz w:val="22"/>
          <w:szCs w:val="22"/>
        </w:rPr>
        <w:t xml:space="preserve"> confirmed there will be a link tutor allocated to Plymouth to provide an overall view and support </w:t>
      </w:r>
      <w:r w:rsidR="00EC06ED" w:rsidRPr="00DE76B9">
        <w:rPr>
          <w:rFonts w:cs="Arial"/>
          <w:sz w:val="22"/>
          <w:szCs w:val="22"/>
        </w:rPr>
        <w:t xml:space="preserve">of the cluster across </w:t>
      </w:r>
      <w:r w:rsidR="008228F6" w:rsidRPr="00DE76B9">
        <w:rPr>
          <w:rFonts w:cs="Arial"/>
          <w:sz w:val="22"/>
          <w:szCs w:val="22"/>
        </w:rPr>
        <w:t xml:space="preserve">the </w:t>
      </w:r>
      <w:r w:rsidR="00EC06ED" w:rsidRPr="00DE76B9">
        <w:rPr>
          <w:rFonts w:cs="Arial"/>
          <w:sz w:val="22"/>
          <w:szCs w:val="22"/>
        </w:rPr>
        <w:t>different Plymouth placement sites.</w:t>
      </w:r>
      <w:r w:rsidR="00135D00">
        <w:rPr>
          <w:rFonts w:cs="Arial"/>
          <w:sz w:val="22"/>
          <w:szCs w:val="22"/>
        </w:rPr>
        <w:t xml:space="preserve"> </w:t>
      </w:r>
      <w:r w:rsidR="00710F03" w:rsidRPr="00F458FD">
        <w:rPr>
          <w:rFonts w:cs="Arial"/>
          <w:sz w:val="22"/>
          <w:szCs w:val="22"/>
        </w:rPr>
        <w:t xml:space="preserve">This concept has been designed to reduce pressure </w:t>
      </w:r>
      <w:r w:rsidR="00A264C5" w:rsidRPr="00F458FD">
        <w:rPr>
          <w:rFonts w:cs="Arial"/>
          <w:sz w:val="22"/>
          <w:szCs w:val="22"/>
        </w:rPr>
        <w:t xml:space="preserve">on UHP staff feeling they have to take responsibility for all </w:t>
      </w:r>
      <w:proofErr w:type="spellStart"/>
      <w:r w:rsidR="00A264C5" w:rsidRPr="00F458FD">
        <w:rPr>
          <w:rFonts w:cs="Arial"/>
          <w:sz w:val="22"/>
          <w:szCs w:val="22"/>
        </w:rPr>
        <w:t>UoP</w:t>
      </w:r>
      <w:proofErr w:type="spellEnd"/>
      <w:r w:rsidR="00A264C5" w:rsidRPr="00F458FD">
        <w:rPr>
          <w:rFonts w:cs="Arial"/>
          <w:sz w:val="22"/>
          <w:szCs w:val="22"/>
        </w:rPr>
        <w:t xml:space="preserve"> students across multiple sites.</w:t>
      </w:r>
    </w:p>
    <w:p w14:paraId="11797B95" w14:textId="7C86B4CE" w:rsidR="00353174" w:rsidRPr="00DE76B9" w:rsidRDefault="00353174" w:rsidP="00E069F0">
      <w:pPr>
        <w:rPr>
          <w:rFonts w:cs="Arial"/>
          <w:sz w:val="22"/>
          <w:szCs w:val="22"/>
        </w:rPr>
      </w:pPr>
    </w:p>
    <w:p w14:paraId="56D32D15" w14:textId="00ABA03B" w:rsidR="00353174" w:rsidRPr="00DE76B9" w:rsidRDefault="00353174" w:rsidP="00E069F0">
      <w:pPr>
        <w:rPr>
          <w:rFonts w:cs="Arial"/>
          <w:sz w:val="22"/>
          <w:szCs w:val="22"/>
        </w:rPr>
      </w:pPr>
      <w:r w:rsidRPr="00DE76B9">
        <w:rPr>
          <w:rFonts w:cs="Arial"/>
          <w:sz w:val="22"/>
          <w:szCs w:val="22"/>
        </w:rPr>
        <w:t xml:space="preserve">The meeting was generally in agreement for the need to take a systems approach and for organisations to work collaboratively together </w:t>
      </w:r>
      <w:r w:rsidR="00E87009" w:rsidRPr="00DE76B9">
        <w:rPr>
          <w:rFonts w:cs="Arial"/>
          <w:sz w:val="22"/>
          <w:szCs w:val="22"/>
        </w:rPr>
        <w:t>to support all learners and to ultimately increase capacity for radiography students.</w:t>
      </w:r>
    </w:p>
    <w:p w14:paraId="532EB15A" w14:textId="4156B332" w:rsidR="00DF5153" w:rsidRPr="00DE76B9" w:rsidRDefault="00DF5153" w:rsidP="00E069F0">
      <w:pPr>
        <w:rPr>
          <w:rFonts w:cs="Arial"/>
          <w:sz w:val="22"/>
          <w:szCs w:val="22"/>
        </w:rPr>
      </w:pPr>
    </w:p>
    <w:p w14:paraId="5E77CEA6" w14:textId="089719E4" w:rsidR="00786370" w:rsidRPr="00DE76B9" w:rsidRDefault="00786370" w:rsidP="00E069F0">
      <w:pPr>
        <w:rPr>
          <w:rFonts w:cs="Arial"/>
          <w:sz w:val="22"/>
          <w:szCs w:val="22"/>
        </w:rPr>
      </w:pPr>
      <w:r w:rsidRPr="00DE76B9">
        <w:rPr>
          <w:rFonts w:cs="Arial"/>
          <w:b/>
          <w:bCs/>
          <w:sz w:val="22"/>
          <w:szCs w:val="22"/>
        </w:rPr>
        <w:t>Action</w:t>
      </w:r>
      <w:r w:rsidRPr="00DE76B9">
        <w:rPr>
          <w:rFonts w:cs="Arial"/>
          <w:sz w:val="22"/>
          <w:szCs w:val="22"/>
        </w:rPr>
        <w:t xml:space="preserve">: </w:t>
      </w:r>
      <w:r w:rsidR="00AE009C" w:rsidRPr="00DE76B9">
        <w:rPr>
          <w:rFonts w:cs="Arial"/>
          <w:sz w:val="22"/>
          <w:szCs w:val="22"/>
        </w:rPr>
        <w:t>A set of principles to be agreed in terms of how all parties agree and would like to work together in future.</w:t>
      </w:r>
      <w:r w:rsidR="00D5552D" w:rsidRPr="00DE76B9">
        <w:rPr>
          <w:rFonts w:cs="Arial"/>
          <w:sz w:val="22"/>
          <w:szCs w:val="22"/>
        </w:rPr>
        <w:t xml:space="preserve">  HEE to draft</w:t>
      </w:r>
      <w:r w:rsidR="004323F6" w:rsidRPr="00DE76B9">
        <w:rPr>
          <w:rFonts w:cs="Arial"/>
          <w:sz w:val="22"/>
          <w:szCs w:val="22"/>
        </w:rPr>
        <w:t xml:space="preserve"> and to include commitment to meet monthly to start with and reducing in </w:t>
      </w:r>
      <w:r w:rsidR="00CA3EA0" w:rsidRPr="00DE76B9">
        <w:rPr>
          <w:rFonts w:cs="Arial"/>
          <w:sz w:val="22"/>
          <w:szCs w:val="22"/>
        </w:rPr>
        <w:t xml:space="preserve">frequency following that; to learn from and share </w:t>
      </w:r>
      <w:r w:rsidR="00103A13" w:rsidRPr="00DE76B9">
        <w:rPr>
          <w:rFonts w:cs="Arial"/>
          <w:sz w:val="22"/>
          <w:szCs w:val="22"/>
        </w:rPr>
        <w:t xml:space="preserve">student </w:t>
      </w:r>
      <w:r w:rsidR="00CA3EA0" w:rsidRPr="00DE76B9">
        <w:rPr>
          <w:rFonts w:cs="Arial"/>
          <w:sz w:val="22"/>
          <w:szCs w:val="22"/>
        </w:rPr>
        <w:t>incident reports</w:t>
      </w:r>
      <w:r w:rsidR="00A31910" w:rsidRPr="00DE76B9">
        <w:rPr>
          <w:rFonts w:cs="Arial"/>
          <w:sz w:val="22"/>
          <w:szCs w:val="22"/>
        </w:rPr>
        <w:t xml:space="preserve">; to utilise PDSA/reflection in action approach; </w:t>
      </w:r>
      <w:r w:rsidR="003C7ECD" w:rsidRPr="00DE76B9">
        <w:rPr>
          <w:rFonts w:cs="Arial"/>
          <w:sz w:val="22"/>
          <w:szCs w:val="22"/>
        </w:rPr>
        <w:t>partnership to support equity of treatment of HEIs.</w:t>
      </w:r>
      <w:r w:rsidR="00B97182" w:rsidRPr="00DE76B9">
        <w:rPr>
          <w:rFonts w:cs="Arial"/>
          <w:sz w:val="22"/>
          <w:szCs w:val="22"/>
        </w:rPr>
        <w:t xml:space="preserve">  To consider when/if it would be helpful to include other providers </w:t>
      </w:r>
      <w:r w:rsidR="00A641DE" w:rsidRPr="00DE76B9">
        <w:rPr>
          <w:rFonts w:cs="Arial"/>
          <w:sz w:val="22"/>
          <w:szCs w:val="22"/>
        </w:rPr>
        <w:t>into</w:t>
      </w:r>
      <w:r w:rsidR="00FB0EC8" w:rsidRPr="00DE76B9">
        <w:rPr>
          <w:rFonts w:cs="Arial"/>
          <w:sz w:val="22"/>
          <w:szCs w:val="22"/>
        </w:rPr>
        <w:t xml:space="preserve"> ongoing meeting schedule. </w:t>
      </w:r>
    </w:p>
    <w:p w14:paraId="2001413B" w14:textId="6B304A86" w:rsidR="00683C14" w:rsidRPr="00DE76B9" w:rsidRDefault="00683C14" w:rsidP="00E069F0">
      <w:pPr>
        <w:rPr>
          <w:rFonts w:cs="Arial"/>
          <w:sz w:val="22"/>
          <w:szCs w:val="22"/>
        </w:rPr>
      </w:pPr>
    </w:p>
    <w:p w14:paraId="520FC8D4" w14:textId="1EBADE80" w:rsidR="00683C14" w:rsidRPr="00DE76B9" w:rsidRDefault="00683C14" w:rsidP="00E069F0">
      <w:pPr>
        <w:rPr>
          <w:rFonts w:cs="Arial"/>
          <w:sz w:val="22"/>
          <w:szCs w:val="22"/>
        </w:rPr>
      </w:pPr>
      <w:r w:rsidRPr="00DE76B9">
        <w:rPr>
          <w:rFonts w:cs="Arial"/>
          <w:b/>
          <w:bCs/>
          <w:sz w:val="22"/>
          <w:szCs w:val="22"/>
        </w:rPr>
        <w:t>Action</w:t>
      </w:r>
      <w:r w:rsidRPr="00DE76B9">
        <w:rPr>
          <w:rFonts w:cs="Arial"/>
          <w:sz w:val="22"/>
          <w:szCs w:val="22"/>
        </w:rPr>
        <w:t xml:space="preserve">: </w:t>
      </w:r>
      <w:proofErr w:type="spellStart"/>
      <w:r w:rsidRPr="00DE76B9">
        <w:rPr>
          <w:rFonts w:cs="Arial"/>
          <w:sz w:val="22"/>
          <w:szCs w:val="22"/>
        </w:rPr>
        <w:t>UoP</w:t>
      </w:r>
      <w:proofErr w:type="spellEnd"/>
      <w:r w:rsidRPr="00DE76B9">
        <w:rPr>
          <w:rFonts w:cs="Arial"/>
          <w:sz w:val="22"/>
          <w:szCs w:val="22"/>
        </w:rPr>
        <w:t xml:space="preserve"> to provide clarity around how many students will be</w:t>
      </w:r>
      <w:r w:rsidR="00AF6CC9" w:rsidRPr="00DE76B9">
        <w:rPr>
          <w:rFonts w:cs="Arial"/>
          <w:sz w:val="22"/>
          <w:szCs w:val="22"/>
        </w:rPr>
        <w:t xml:space="preserve"> </w:t>
      </w:r>
      <w:r w:rsidRPr="00DE76B9">
        <w:rPr>
          <w:rFonts w:cs="Arial"/>
          <w:sz w:val="22"/>
          <w:szCs w:val="22"/>
        </w:rPr>
        <w:t xml:space="preserve">on the rota from September at </w:t>
      </w:r>
      <w:r w:rsidR="004216EC">
        <w:rPr>
          <w:rFonts w:cs="Arial"/>
          <w:sz w:val="22"/>
          <w:szCs w:val="22"/>
        </w:rPr>
        <w:t>UHP</w:t>
      </w:r>
      <w:r w:rsidRPr="00DE76B9">
        <w:rPr>
          <w:rFonts w:cs="Arial"/>
          <w:sz w:val="22"/>
          <w:szCs w:val="22"/>
        </w:rPr>
        <w:t xml:space="preserve">, so that the implications for the education team and department can </w:t>
      </w:r>
      <w:r w:rsidR="00AF6CC9" w:rsidRPr="00DE76B9">
        <w:rPr>
          <w:rFonts w:cs="Arial"/>
          <w:sz w:val="22"/>
          <w:szCs w:val="22"/>
        </w:rPr>
        <w:t>be accurately assessed.</w:t>
      </w:r>
    </w:p>
    <w:p w14:paraId="6063FDAA" w14:textId="7707497B" w:rsidR="00AF6CC9" w:rsidRPr="00DE76B9" w:rsidRDefault="00AF6CC9" w:rsidP="00E069F0">
      <w:pPr>
        <w:rPr>
          <w:rFonts w:cs="Arial"/>
          <w:sz w:val="22"/>
          <w:szCs w:val="22"/>
        </w:rPr>
      </w:pPr>
    </w:p>
    <w:p w14:paraId="6D9AF502" w14:textId="62F35201" w:rsidR="00AF6CC9" w:rsidRPr="00DE76B9" w:rsidRDefault="00AF6CC9" w:rsidP="00E069F0">
      <w:pPr>
        <w:rPr>
          <w:rFonts w:cs="Arial"/>
          <w:sz w:val="22"/>
          <w:szCs w:val="22"/>
        </w:rPr>
      </w:pPr>
      <w:r w:rsidRPr="00DE76B9">
        <w:rPr>
          <w:rFonts w:cs="Arial"/>
          <w:b/>
          <w:bCs/>
          <w:sz w:val="22"/>
          <w:szCs w:val="22"/>
        </w:rPr>
        <w:lastRenderedPageBreak/>
        <w:t>Action</w:t>
      </w:r>
      <w:r w:rsidRPr="00DE76B9">
        <w:rPr>
          <w:rFonts w:cs="Arial"/>
          <w:sz w:val="22"/>
          <w:szCs w:val="22"/>
        </w:rPr>
        <w:t xml:space="preserve">: JJ to provide </w:t>
      </w:r>
      <w:proofErr w:type="spellStart"/>
      <w:r w:rsidRPr="00DE76B9">
        <w:rPr>
          <w:rFonts w:cs="Arial"/>
          <w:sz w:val="22"/>
          <w:szCs w:val="22"/>
        </w:rPr>
        <w:t>UoP</w:t>
      </w:r>
      <w:proofErr w:type="spellEnd"/>
      <w:r w:rsidRPr="00DE76B9">
        <w:rPr>
          <w:rFonts w:cs="Arial"/>
          <w:sz w:val="22"/>
          <w:szCs w:val="22"/>
        </w:rPr>
        <w:t xml:space="preserve"> Practice Placement Handbook.</w:t>
      </w:r>
    </w:p>
    <w:p w14:paraId="2B9DE075" w14:textId="62B8B827" w:rsidR="00EC06ED" w:rsidRPr="00DE76B9" w:rsidRDefault="00EC06ED" w:rsidP="00E069F0">
      <w:pPr>
        <w:rPr>
          <w:rFonts w:cs="Arial"/>
          <w:sz w:val="22"/>
          <w:szCs w:val="22"/>
        </w:rPr>
      </w:pPr>
    </w:p>
    <w:p w14:paraId="637D8D3A" w14:textId="03F13E58" w:rsidR="00EC06ED" w:rsidRPr="00DE76B9" w:rsidRDefault="00EC06ED" w:rsidP="00E069F0">
      <w:pPr>
        <w:rPr>
          <w:rFonts w:cs="Arial"/>
          <w:sz w:val="22"/>
          <w:szCs w:val="22"/>
        </w:rPr>
      </w:pPr>
      <w:r w:rsidRPr="00DE76B9">
        <w:rPr>
          <w:rFonts w:cs="Arial"/>
          <w:b/>
          <w:bCs/>
          <w:sz w:val="22"/>
          <w:szCs w:val="22"/>
        </w:rPr>
        <w:t>Action</w:t>
      </w:r>
      <w:r w:rsidRPr="00DE76B9">
        <w:rPr>
          <w:rFonts w:cs="Arial"/>
          <w:sz w:val="22"/>
          <w:szCs w:val="22"/>
        </w:rPr>
        <w:t xml:space="preserve">: </w:t>
      </w:r>
      <w:r w:rsidR="007F1260" w:rsidRPr="00DE76B9">
        <w:rPr>
          <w:rFonts w:cs="Arial"/>
          <w:sz w:val="22"/>
          <w:szCs w:val="22"/>
        </w:rPr>
        <w:t xml:space="preserve">It was agreed that a communication out to students was needed asap to confirm placements in </w:t>
      </w:r>
      <w:r w:rsidR="004216EC">
        <w:rPr>
          <w:rFonts w:cs="Arial"/>
          <w:sz w:val="22"/>
          <w:szCs w:val="22"/>
        </w:rPr>
        <w:t>UHP</w:t>
      </w:r>
      <w:r w:rsidR="007F1260" w:rsidRPr="00DE76B9">
        <w:rPr>
          <w:rFonts w:cs="Arial"/>
          <w:sz w:val="22"/>
          <w:szCs w:val="22"/>
        </w:rPr>
        <w:t xml:space="preserve"> from September.</w:t>
      </w:r>
    </w:p>
    <w:p w14:paraId="2CF9BBFB" w14:textId="03AD68A6" w:rsidR="001C57A0" w:rsidRPr="00DE76B9" w:rsidRDefault="001C57A0" w:rsidP="00E069F0">
      <w:pPr>
        <w:rPr>
          <w:rFonts w:cs="Arial"/>
          <w:sz w:val="22"/>
          <w:szCs w:val="22"/>
        </w:rPr>
      </w:pPr>
    </w:p>
    <w:p w14:paraId="32A5E0D1" w14:textId="65B46BC7" w:rsidR="001C57A0" w:rsidRPr="00DE76B9" w:rsidRDefault="001C57A0" w:rsidP="001C57A0">
      <w:pPr>
        <w:rPr>
          <w:rFonts w:eastAsia="Calibri" w:cs="Arial"/>
          <w:sz w:val="22"/>
          <w:szCs w:val="22"/>
          <w:lang w:eastAsia="en-GB"/>
        </w:rPr>
      </w:pPr>
      <w:r w:rsidRPr="00DE76B9">
        <w:rPr>
          <w:rFonts w:eastAsia="Calibri" w:cs="Arial"/>
          <w:sz w:val="22"/>
          <w:szCs w:val="22"/>
          <w:lang w:eastAsia="en-GB"/>
        </w:rPr>
        <w:t>KK raised issues of current concerns re</w:t>
      </w:r>
      <w:r w:rsidR="005A62C5" w:rsidRPr="00DE76B9">
        <w:rPr>
          <w:rFonts w:eastAsia="Calibri" w:cs="Arial"/>
          <w:sz w:val="22"/>
          <w:szCs w:val="22"/>
          <w:lang w:eastAsia="en-GB"/>
        </w:rPr>
        <w:t>garding</w:t>
      </w:r>
      <w:r w:rsidRPr="00DE76B9">
        <w:rPr>
          <w:rFonts w:eastAsia="Calibri" w:cs="Arial"/>
          <w:sz w:val="22"/>
          <w:szCs w:val="22"/>
          <w:lang w:eastAsia="en-GB"/>
        </w:rPr>
        <w:t xml:space="preserve"> </w:t>
      </w:r>
      <w:r w:rsidR="005A62C5" w:rsidRPr="00DE76B9">
        <w:rPr>
          <w:rFonts w:eastAsia="Calibri" w:cs="Arial"/>
          <w:sz w:val="22"/>
          <w:szCs w:val="22"/>
          <w:lang w:eastAsia="en-GB"/>
        </w:rPr>
        <w:t>Death in Service cover</w:t>
      </w:r>
      <w:r w:rsidRPr="00DE76B9">
        <w:rPr>
          <w:rFonts w:eastAsia="Calibri" w:cs="Arial"/>
          <w:sz w:val="22"/>
          <w:szCs w:val="22"/>
          <w:lang w:eastAsia="en-GB"/>
        </w:rPr>
        <w:t xml:space="preserve"> and indemnity impacting on commitment for students</w:t>
      </w:r>
      <w:r w:rsidR="005A62C5" w:rsidRPr="00DE76B9">
        <w:rPr>
          <w:rFonts w:eastAsia="Calibri" w:cs="Arial"/>
          <w:sz w:val="22"/>
          <w:szCs w:val="22"/>
          <w:lang w:eastAsia="en-GB"/>
        </w:rPr>
        <w:t>.  It was recognised there is a need to</w:t>
      </w:r>
      <w:r w:rsidR="00B06F07" w:rsidRPr="00DE76B9">
        <w:rPr>
          <w:rFonts w:eastAsia="Calibri" w:cs="Arial"/>
          <w:sz w:val="22"/>
          <w:szCs w:val="22"/>
          <w:lang w:eastAsia="en-GB"/>
        </w:rPr>
        <w:t xml:space="preserve"> </w:t>
      </w:r>
      <w:r w:rsidRPr="00DE76B9">
        <w:rPr>
          <w:rFonts w:eastAsia="Calibri" w:cs="Arial"/>
          <w:sz w:val="22"/>
          <w:szCs w:val="22"/>
          <w:lang w:eastAsia="en-GB"/>
        </w:rPr>
        <w:t xml:space="preserve">work together at a regional level to support the placement </w:t>
      </w:r>
      <w:r w:rsidR="00A641DE" w:rsidRPr="00DE76B9">
        <w:rPr>
          <w:rFonts w:eastAsia="Calibri" w:cs="Arial"/>
          <w:sz w:val="22"/>
          <w:szCs w:val="22"/>
          <w:lang w:eastAsia="en-GB"/>
        </w:rPr>
        <w:t>recovery</w:t>
      </w:r>
      <w:r w:rsidRPr="00DE76B9">
        <w:rPr>
          <w:rFonts w:eastAsia="Calibri" w:cs="Arial"/>
          <w:sz w:val="22"/>
          <w:szCs w:val="22"/>
          <w:lang w:eastAsia="en-GB"/>
        </w:rPr>
        <w:t xml:space="preserve">, </w:t>
      </w:r>
      <w:r w:rsidR="00B06F07" w:rsidRPr="00DE76B9">
        <w:rPr>
          <w:rFonts w:eastAsia="Calibri" w:cs="Arial"/>
          <w:sz w:val="22"/>
          <w:szCs w:val="22"/>
          <w:lang w:eastAsia="en-GB"/>
        </w:rPr>
        <w:t>resilience,</w:t>
      </w:r>
      <w:r w:rsidRPr="00DE76B9">
        <w:rPr>
          <w:rFonts w:eastAsia="Calibri" w:cs="Arial"/>
          <w:sz w:val="22"/>
          <w:szCs w:val="22"/>
          <w:lang w:eastAsia="en-GB"/>
        </w:rPr>
        <w:t xml:space="preserve"> and expansion.</w:t>
      </w:r>
    </w:p>
    <w:p w14:paraId="2E946154" w14:textId="77777777" w:rsidR="001C57A0" w:rsidRPr="00DE76B9" w:rsidRDefault="001C57A0" w:rsidP="00E069F0">
      <w:pPr>
        <w:rPr>
          <w:rFonts w:cs="Arial"/>
          <w:sz w:val="22"/>
          <w:szCs w:val="22"/>
        </w:rPr>
      </w:pPr>
    </w:p>
    <w:p w14:paraId="6EC3BBC3" w14:textId="660710F6" w:rsidR="00AF6CC9" w:rsidRPr="00DE76B9" w:rsidRDefault="00AF6CC9" w:rsidP="00E069F0">
      <w:pPr>
        <w:rPr>
          <w:rFonts w:cs="Arial"/>
          <w:sz w:val="22"/>
          <w:szCs w:val="22"/>
        </w:rPr>
      </w:pPr>
    </w:p>
    <w:p w14:paraId="3822A793" w14:textId="77777777" w:rsidR="00AF6CC9" w:rsidRPr="00DE76B9" w:rsidRDefault="00AF6CC9" w:rsidP="00E069F0">
      <w:pPr>
        <w:rPr>
          <w:rFonts w:cs="Arial"/>
          <w:sz w:val="22"/>
          <w:szCs w:val="22"/>
        </w:rPr>
      </w:pPr>
    </w:p>
    <w:p w14:paraId="7924C466" w14:textId="774E0645" w:rsidR="004657F4" w:rsidRPr="00DE76B9" w:rsidRDefault="006D551D" w:rsidP="00BC168D">
      <w:pPr>
        <w:rPr>
          <w:rFonts w:cs="Arial"/>
          <w:sz w:val="22"/>
          <w:szCs w:val="22"/>
        </w:rPr>
      </w:pPr>
      <w:proofErr w:type="spellStart"/>
      <w:r w:rsidRPr="00DE76B9">
        <w:rPr>
          <w:rFonts w:cs="Arial"/>
          <w:b/>
          <w:bCs/>
          <w:sz w:val="22"/>
          <w:szCs w:val="22"/>
          <w:u w:val="single"/>
        </w:rPr>
        <w:t>UoP</w:t>
      </w:r>
      <w:proofErr w:type="spellEnd"/>
      <w:r w:rsidRPr="00DE76B9">
        <w:rPr>
          <w:rFonts w:cs="Arial"/>
          <w:b/>
          <w:bCs/>
          <w:sz w:val="22"/>
          <w:szCs w:val="22"/>
          <w:u w:val="single"/>
        </w:rPr>
        <w:t xml:space="preserve"> </w:t>
      </w:r>
      <w:r w:rsidR="009C57D7" w:rsidRPr="00DE76B9">
        <w:rPr>
          <w:rFonts w:cs="Arial"/>
          <w:b/>
          <w:bCs/>
          <w:sz w:val="22"/>
          <w:szCs w:val="22"/>
          <w:u w:val="single"/>
        </w:rPr>
        <w:t>Interval placements</w:t>
      </w:r>
      <w:r w:rsidR="009C57D7" w:rsidRPr="00DE76B9">
        <w:rPr>
          <w:rFonts w:cs="Arial"/>
          <w:sz w:val="22"/>
          <w:szCs w:val="22"/>
        </w:rPr>
        <w:t>:</w:t>
      </w:r>
    </w:p>
    <w:p w14:paraId="23F36A64" w14:textId="4C453F97" w:rsidR="009C57D7" w:rsidRPr="00DE76B9" w:rsidRDefault="009C57D7" w:rsidP="00BC168D">
      <w:pPr>
        <w:rPr>
          <w:rFonts w:cs="Arial"/>
          <w:sz w:val="22"/>
          <w:szCs w:val="22"/>
        </w:rPr>
      </w:pPr>
    </w:p>
    <w:p w14:paraId="17A565B7" w14:textId="633303C2" w:rsidR="009C57D7" w:rsidRPr="00DE76B9" w:rsidRDefault="006D551D" w:rsidP="00BC168D">
      <w:pPr>
        <w:rPr>
          <w:rFonts w:cs="Arial"/>
          <w:sz w:val="22"/>
          <w:szCs w:val="22"/>
        </w:rPr>
      </w:pPr>
      <w:r w:rsidRPr="00DE76B9">
        <w:rPr>
          <w:rFonts w:cs="Arial"/>
          <w:sz w:val="22"/>
          <w:szCs w:val="22"/>
        </w:rPr>
        <w:t>Inter</w:t>
      </w:r>
      <w:r w:rsidR="00B9605B">
        <w:rPr>
          <w:rFonts w:cs="Arial"/>
          <w:sz w:val="22"/>
          <w:szCs w:val="22"/>
        </w:rPr>
        <w:t>v</w:t>
      </w:r>
      <w:r w:rsidRPr="00DE76B9">
        <w:rPr>
          <w:rFonts w:cs="Arial"/>
          <w:sz w:val="22"/>
          <w:szCs w:val="22"/>
        </w:rPr>
        <w:t xml:space="preserve">al placements are being utilised by </w:t>
      </w:r>
      <w:proofErr w:type="spellStart"/>
      <w:r w:rsidRPr="00DE76B9">
        <w:rPr>
          <w:rFonts w:cs="Arial"/>
          <w:sz w:val="22"/>
          <w:szCs w:val="22"/>
        </w:rPr>
        <w:t>UoP</w:t>
      </w:r>
      <w:proofErr w:type="spellEnd"/>
      <w:r w:rsidRPr="00DE76B9">
        <w:rPr>
          <w:rFonts w:cs="Arial"/>
          <w:sz w:val="22"/>
          <w:szCs w:val="22"/>
        </w:rPr>
        <w:t xml:space="preserve"> to ensure that students </w:t>
      </w:r>
      <w:proofErr w:type="gramStart"/>
      <w:r w:rsidRPr="00DE76B9">
        <w:rPr>
          <w:rFonts w:cs="Arial"/>
          <w:sz w:val="22"/>
          <w:szCs w:val="22"/>
        </w:rPr>
        <w:t>don’t</w:t>
      </w:r>
      <w:proofErr w:type="gramEnd"/>
      <w:r w:rsidRPr="00DE76B9">
        <w:rPr>
          <w:rFonts w:cs="Arial"/>
          <w:sz w:val="22"/>
          <w:szCs w:val="22"/>
        </w:rPr>
        <w:t xml:space="preserve"> lose clinical skills and confidence in between </w:t>
      </w:r>
      <w:r w:rsidR="00020783" w:rsidRPr="00DE76B9">
        <w:rPr>
          <w:rFonts w:cs="Arial"/>
          <w:sz w:val="22"/>
          <w:szCs w:val="22"/>
        </w:rPr>
        <w:t xml:space="preserve">clinical </w:t>
      </w:r>
      <w:r w:rsidRPr="00DE76B9">
        <w:rPr>
          <w:rFonts w:cs="Arial"/>
          <w:sz w:val="22"/>
          <w:szCs w:val="22"/>
        </w:rPr>
        <w:t>placement</w:t>
      </w:r>
      <w:r w:rsidR="00020783" w:rsidRPr="00DE76B9">
        <w:rPr>
          <w:rFonts w:cs="Arial"/>
          <w:sz w:val="22"/>
          <w:szCs w:val="22"/>
        </w:rPr>
        <w:t xml:space="preserve"> and academic learning in the university</w:t>
      </w:r>
      <w:r w:rsidR="003B5DB0" w:rsidRPr="00DE76B9">
        <w:rPr>
          <w:rFonts w:cs="Arial"/>
          <w:sz w:val="22"/>
          <w:szCs w:val="22"/>
        </w:rPr>
        <w:t>.  The process allows students to be placed in different departments at the weekend</w:t>
      </w:r>
      <w:r w:rsidR="007C6A67" w:rsidRPr="00DE76B9">
        <w:rPr>
          <w:rFonts w:cs="Arial"/>
          <w:sz w:val="22"/>
          <w:szCs w:val="22"/>
        </w:rPr>
        <w:t xml:space="preserve"> and covers </w:t>
      </w:r>
      <w:r w:rsidR="00520A6F">
        <w:rPr>
          <w:rFonts w:cs="Arial"/>
          <w:sz w:val="22"/>
          <w:szCs w:val="22"/>
        </w:rPr>
        <w:t>10</w:t>
      </w:r>
      <w:r w:rsidR="007C6A67" w:rsidRPr="00DE76B9">
        <w:rPr>
          <w:rFonts w:cs="Arial"/>
          <w:sz w:val="22"/>
          <w:szCs w:val="22"/>
        </w:rPr>
        <w:t>-</w:t>
      </w:r>
      <w:r w:rsidR="00520A6F">
        <w:rPr>
          <w:rFonts w:cs="Arial"/>
          <w:sz w:val="22"/>
          <w:szCs w:val="22"/>
        </w:rPr>
        <w:t>11</w:t>
      </w:r>
      <w:r w:rsidR="007C6A67" w:rsidRPr="00DE76B9">
        <w:rPr>
          <w:rFonts w:cs="Arial"/>
          <w:sz w:val="22"/>
          <w:szCs w:val="22"/>
        </w:rPr>
        <w:t xml:space="preserve"> weekends.</w:t>
      </w:r>
    </w:p>
    <w:p w14:paraId="5FA5B91F" w14:textId="73BBC602" w:rsidR="00F9613F" w:rsidRPr="00DE76B9" w:rsidRDefault="00F9613F" w:rsidP="00BC168D">
      <w:pPr>
        <w:rPr>
          <w:rFonts w:cs="Arial"/>
          <w:sz w:val="22"/>
          <w:szCs w:val="22"/>
        </w:rPr>
      </w:pPr>
    </w:p>
    <w:p w14:paraId="05A83337" w14:textId="5C935FE8" w:rsidR="00F9613F" w:rsidRPr="00DE76B9" w:rsidRDefault="00F9613F" w:rsidP="00BC168D">
      <w:pPr>
        <w:rPr>
          <w:rFonts w:cs="Arial"/>
          <w:sz w:val="22"/>
          <w:szCs w:val="22"/>
        </w:rPr>
      </w:pPr>
      <w:r w:rsidRPr="00DE76B9">
        <w:rPr>
          <w:rFonts w:cs="Arial"/>
          <w:sz w:val="22"/>
          <w:szCs w:val="22"/>
        </w:rPr>
        <w:t xml:space="preserve">UHP voiced concerns that students on interval placements </w:t>
      </w:r>
      <w:r w:rsidR="00020783" w:rsidRPr="00DE76B9">
        <w:rPr>
          <w:rFonts w:cs="Arial"/>
          <w:sz w:val="22"/>
          <w:szCs w:val="22"/>
        </w:rPr>
        <w:t>c</w:t>
      </w:r>
      <w:r w:rsidRPr="00DE76B9">
        <w:rPr>
          <w:rFonts w:cs="Arial"/>
          <w:sz w:val="22"/>
          <w:szCs w:val="22"/>
        </w:rPr>
        <w:t xml:space="preserve">ould </w:t>
      </w:r>
      <w:r w:rsidR="00265200" w:rsidRPr="00DE76B9">
        <w:rPr>
          <w:rFonts w:cs="Arial"/>
          <w:sz w:val="22"/>
          <w:szCs w:val="22"/>
        </w:rPr>
        <w:t>be placed at the hospital for the first time</w:t>
      </w:r>
      <w:r w:rsidR="00020783" w:rsidRPr="00DE76B9">
        <w:rPr>
          <w:rFonts w:cs="Arial"/>
          <w:sz w:val="22"/>
          <w:szCs w:val="22"/>
        </w:rPr>
        <w:t xml:space="preserve"> without having had a formal induction. This is a</w:t>
      </w:r>
      <w:r w:rsidR="00265200" w:rsidRPr="00DE76B9">
        <w:rPr>
          <w:rFonts w:cs="Arial"/>
          <w:sz w:val="22"/>
          <w:szCs w:val="22"/>
        </w:rPr>
        <w:t xml:space="preserve"> particular risk at the weekend</w:t>
      </w:r>
      <w:r w:rsidR="00020783" w:rsidRPr="00DE76B9">
        <w:rPr>
          <w:rFonts w:cs="Arial"/>
          <w:sz w:val="22"/>
          <w:szCs w:val="22"/>
        </w:rPr>
        <w:t xml:space="preserve"> where staffing levels are lower and therefore ability to ask for assistance is reduced</w:t>
      </w:r>
      <w:r w:rsidR="00265200" w:rsidRPr="00DE76B9">
        <w:rPr>
          <w:rFonts w:cs="Arial"/>
          <w:sz w:val="22"/>
          <w:szCs w:val="22"/>
        </w:rPr>
        <w:t>.</w:t>
      </w:r>
      <w:r w:rsidR="00F62B5F" w:rsidRPr="00DE76B9">
        <w:rPr>
          <w:rFonts w:cs="Arial"/>
          <w:sz w:val="22"/>
          <w:szCs w:val="22"/>
        </w:rPr>
        <w:t xml:space="preserve">  They support the philosophy but have concerns about how this will work in practice, whilst ensuring patient and student safety.</w:t>
      </w:r>
    </w:p>
    <w:p w14:paraId="5893EB15" w14:textId="3DAE5A6C" w:rsidR="00741AF4" w:rsidRPr="00DE76B9" w:rsidRDefault="00741AF4" w:rsidP="00BC168D">
      <w:pPr>
        <w:rPr>
          <w:rFonts w:cs="Arial"/>
          <w:sz w:val="22"/>
          <w:szCs w:val="22"/>
        </w:rPr>
      </w:pPr>
    </w:p>
    <w:p w14:paraId="64CFBA3F" w14:textId="232B96BD" w:rsidR="00741AF4" w:rsidRPr="00DE76B9" w:rsidRDefault="00741AF4" w:rsidP="00BC168D">
      <w:pPr>
        <w:rPr>
          <w:rFonts w:cs="Arial"/>
          <w:sz w:val="22"/>
          <w:szCs w:val="22"/>
        </w:rPr>
      </w:pPr>
      <w:proofErr w:type="spellStart"/>
      <w:r w:rsidRPr="00DE76B9">
        <w:rPr>
          <w:rFonts w:cs="Arial"/>
          <w:sz w:val="22"/>
          <w:szCs w:val="22"/>
        </w:rPr>
        <w:t>UoP</w:t>
      </w:r>
      <w:proofErr w:type="spellEnd"/>
      <w:r w:rsidRPr="00DE76B9">
        <w:rPr>
          <w:rFonts w:cs="Arial"/>
          <w:sz w:val="22"/>
          <w:szCs w:val="22"/>
        </w:rPr>
        <w:t xml:space="preserve"> explained that there is a date set at end of January for induction (Trust and departmental)</w:t>
      </w:r>
      <w:r w:rsidR="00EE078F" w:rsidRPr="00DE76B9">
        <w:rPr>
          <w:rFonts w:cs="Arial"/>
          <w:sz w:val="22"/>
          <w:szCs w:val="22"/>
        </w:rPr>
        <w:t xml:space="preserve"> and students will commence placements shortly after this.  </w:t>
      </w:r>
      <w:proofErr w:type="spellStart"/>
      <w:r w:rsidR="00EE078F" w:rsidRPr="00DE76B9">
        <w:rPr>
          <w:rFonts w:cs="Arial"/>
          <w:sz w:val="22"/>
          <w:szCs w:val="22"/>
        </w:rPr>
        <w:t>UoP</w:t>
      </w:r>
      <w:proofErr w:type="spellEnd"/>
      <w:r w:rsidR="00EE078F" w:rsidRPr="00DE76B9">
        <w:rPr>
          <w:rFonts w:cs="Arial"/>
          <w:sz w:val="22"/>
          <w:szCs w:val="22"/>
        </w:rPr>
        <w:t xml:space="preserve"> confirmed all students will have previously been to </w:t>
      </w:r>
      <w:r w:rsidR="004216EC">
        <w:rPr>
          <w:rFonts w:cs="Arial"/>
          <w:sz w:val="22"/>
          <w:szCs w:val="22"/>
        </w:rPr>
        <w:t>UHP</w:t>
      </w:r>
      <w:r w:rsidR="00EE078F" w:rsidRPr="00DE76B9">
        <w:rPr>
          <w:rFonts w:cs="Arial"/>
          <w:sz w:val="22"/>
          <w:szCs w:val="22"/>
        </w:rPr>
        <w:t xml:space="preserve"> on placement</w:t>
      </w:r>
      <w:r w:rsidR="00020783" w:rsidRPr="00DE76B9">
        <w:rPr>
          <w:rFonts w:cs="Arial"/>
          <w:sz w:val="22"/>
          <w:szCs w:val="22"/>
        </w:rPr>
        <w:t xml:space="preserve"> in their previous year of training</w:t>
      </w:r>
      <w:r w:rsidR="00EE078F" w:rsidRPr="00DE76B9">
        <w:rPr>
          <w:rFonts w:cs="Arial"/>
          <w:sz w:val="22"/>
          <w:szCs w:val="22"/>
        </w:rPr>
        <w:t xml:space="preserve">.  </w:t>
      </w:r>
      <w:proofErr w:type="spellStart"/>
      <w:r w:rsidR="00A20E93" w:rsidRPr="00DE76B9">
        <w:rPr>
          <w:rFonts w:cs="Arial"/>
          <w:sz w:val="22"/>
          <w:szCs w:val="22"/>
        </w:rPr>
        <w:t>UoP</w:t>
      </w:r>
      <w:proofErr w:type="spellEnd"/>
      <w:r w:rsidR="00A20E93" w:rsidRPr="00DE76B9">
        <w:rPr>
          <w:rFonts w:cs="Arial"/>
          <w:sz w:val="22"/>
          <w:szCs w:val="22"/>
        </w:rPr>
        <w:t xml:space="preserve"> confirmed they have taken on feedback and students will now work 2-day weekends to ensure consistency and maximise </w:t>
      </w:r>
      <w:r w:rsidR="00F914FE" w:rsidRPr="00DE76B9">
        <w:rPr>
          <w:rFonts w:cs="Arial"/>
          <w:sz w:val="22"/>
          <w:szCs w:val="22"/>
        </w:rPr>
        <w:t>learning/experience.  A video overview of the department will also be provided to the student prior to placement.</w:t>
      </w:r>
    </w:p>
    <w:p w14:paraId="7FB9434F" w14:textId="52F29481" w:rsidR="00D33D68" w:rsidRPr="00DE76B9" w:rsidRDefault="00D33D68" w:rsidP="007C6A67">
      <w:pPr>
        <w:rPr>
          <w:rFonts w:cs="Arial"/>
          <w:sz w:val="22"/>
          <w:szCs w:val="22"/>
          <w:lang w:val="en-US"/>
        </w:rPr>
      </w:pPr>
    </w:p>
    <w:p w14:paraId="3F37FF97" w14:textId="1F369520" w:rsidR="007C6A67" w:rsidRPr="00DE76B9" w:rsidRDefault="007C6A67" w:rsidP="007C6A67">
      <w:pPr>
        <w:rPr>
          <w:rFonts w:cs="Arial"/>
          <w:sz w:val="22"/>
          <w:szCs w:val="22"/>
          <w:lang w:val="en-US"/>
        </w:rPr>
      </w:pPr>
      <w:r w:rsidRPr="00DE76B9">
        <w:rPr>
          <w:rFonts w:cs="Arial"/>
          <w:sz w:val="22"/>
          <w:szCs w:val="22"/>
          <w:lang w:val="en-US"/>
        </w:rPr>
        <w:t xml:space="preserve">UHP </w:t>
      </w:r>
      <w:r w:rsidR="007D41CD" w:rsidRPr="00DE76B9">
        <w:rPr>
          <w:rFonts w:cs="Arial"/>
          <w:sz w:val="22"/>
          <w:szCs w:val="22"/>
          <w:lang w:val="en-US"/>
        </w:rPr>
        <w:t>explained that they only have 6 Radiographers covering weekends and they do not have 7-day working arrangements in place.</w:t>
      </w:r>
      <w:r w:rsidR="009C6F93" w:rsidRPr="00DE76B9">
        <w:rPr>
          <w:rFonts w:cs="Arial"/>
          <w:sz w:val="22"/>
          <w:szCs w:val="22"/>
          <w:lang w:val="en-US"/>
        </w:rPr>
        <w:t xml:space="preserve"> </w:t>
      </w:r>
      <w:r w:rsidR="003A4C59" w:rsidRPr="00DE76B9">
        <w:rPr>
          <w:rFonts w:cs="Arial"/>
          <w:sz w:val="22"/>
          <w:szCs w:val="22"/>
          <w:lang w:val="en-US"/>
        </w:rPr>
        <w:t>KB expressed concerns that students may not get as much out of placement as the HEI is expecting.</w:t>
      </w:r>
    </w:p>
    <w:p w14:paraId="6C5FEA96" w14:textId="36B77FD8" w:rsidR="009C6F93" w:rsidRPr="00DE76B9" w:rsidRDefault="009C6F93" w:rsidP="007C6A67">
      <w:pPr>
        <w:rPr>
          <w:rFonts w:cs="Arial"/>
          <w:sz w:val="22"/>
          <w:szCs w:val="22"/>
          <w:lang w:val="en-US"/>
        </w:rPr>
      </w:pPr>
    </w:p>
    <w:p w14:paraId="38B044FB" w14:textId="5C05A027" w:rsidR="009C6F93" w:rsidRPr="00DE76B9" w:rsidRDefault="009C6F93" w:rsidP="007C6A67">
      <w:pPr>
        <w:rPr>
          <w:rFonts w:cs="Arial"/>
          <w:sz w:val="22"/>
          <w:szCs w:val="22"/>
          <w:lang w:val="en-US"/>
        </w:rPr>
      </w:pPr>
      <w:r w:rsidRPr="00DE76B9">
        <w:rPr>
          <w:rFonts w:cs="Arial"/>
          <w:sz w:val="22"/>
          <w:szCs w:val="22"/>
          <w:lang w:val="en-US"/>
        </w:rPr>
        <w:t>UHP have concerns about Interval placements</w:t>
      </w:r>
      <w:r w:rsidR="005E69A1" w:rsidRPr="00DE76B9">
        <w:rPr>
          <w:rFonts w:cs="Arial"/>
          <w:sz w:val="22"/>
          <w:szCs w:val="22"/>
          <w:lang w:val="en-US"/>
        </w:rPr>
        <w:t>.  The Trust</w:t>
      </w:r>
      <w:r w:rsidRPr="00DE76B9">
        <w:rPr>
          <w:rFonts w:cs="Arial"/>
          <w:sz w:val="22"/>
          <w:szCs w:val="22"/>
          <w:lang w:val="en-US"/>
        </w:rPr>
        <w:t xml:space="preserve"> explained that they do not feel listened to by </w:t>
      </w:r>
      <w:proofErr w:type="spellStart"/>
      <w:r w:rsidRPr="00DE76B9">
        <w:rPr>
          <w:rFonts w:cs="Arial"/>
          <w:sz w:val="22"/>
          <w:szCs w:val="22"/>
          <w:lang w:val="en-US"/>
        </w:rPr>
        <w:t>UoP</w:t>
      </w:r>
      <w:proofErr w:type="spellEnd"/>
      <w:r w:rsidRPr="00DE76B9">
        <w:rPr>
          <w:rFonts w:cs="Arial"/>
          <w:sz w:val="22"/>
          <w:szCs w:val="22"/>
          <w:lang w:val="en-US"/>
        </w:rPr>
        <w:t xml:space="preserve"> and that the issues they have been highlighting have not been </w:t>
      </w:r>
      <w:r w:rsidR="00020783" w:rsidRPr="00DE76B9">
        <w:rPr>
          <w:rFonts w:cs="Arial"/>
          <w:sz w:val="22"/>
          <w:szCs w:val="22"/>
          <w:lang w:val="en-US"/>
        </w:rPr>
        <w:t>acted upon</w:t>
      </w:r>
      <w:r w:rsidRPr="00DE76B9">
        <w:rPr>
          <w:rFonts w:cs="Arial"/>
          <w:sz w:val="22"/>
          <w:szCs w:val="22"/>
          <w:lang w:val="en-US"/>
        </w:rPr>
        <w:t xml:space="preserve">. </w:t>
      </w:r>
      <w:r w:rsidR="00DF0F85" w:rsidRPr="00DE76B9">
        <w:rPr>
          <w:rFonts w:cs="Arial"/>
          <w:sz w:val="22"/>
          <w:szCs w:val="22"/>
          <w:lang w:val="en-US"/>
        </w:rPr>
        <w:t xml:space="preserve">They would like to </w:t>
      </w:r>
      <w:r w:rsidR="00020783" w:rsidRPr="00DE76B9">
        <w:rPr>
          <w:rFonts w:cs="Arial"/>
          <w:sz w:val="22"/>
          <w:szCs w:val="22"/>
          <w:lang w:val="en-US"/>
        </w:rPr>
        <w:t>move</w:t>
      </w:r>
      <w:r w:rsidR="00DF0F85" w:rsidRPr="00DE76B9">
        <w:rPr>
          <w:rFonts w:cs="Arial"/>
          <w:sz w:val="22"/>
          <w:szCs w:val="22"/>
          <w:lang w:val="en-US"/>
        </w:rPr>
        <w:t xml:space="preserve"> towards a more </w:t>
      </w:r>
      <w:r w:rsidR="00020783" w:rsidRPr="00DE76B9">
        <w:rPr>
          <w:rFonts w:cs="Arial"/>
          <w:sz w:val="22"/>
          <w:szCs w:val="22"/>
          <w:lang w:val="en-US"/>
        </w:rPr>
        <w:t>collaborative working together philosophy</w:t>
      </w:r>
      <w:r w:rsidR="00DF0F85" w:rsidRPr="00DE76B9">
        <w:rPr>
          <w:rFonts w:cs="Arial"/>
          <w:sz w:val="22"/>
          <w:szCs w:val="22"/>
          <w:lang w:val="en-US"/>
        </w:rPr>
        <w:t>.</w:t>
      </w:r>
    </w:p>
    <w:p w14:paraId="79B6719B" w14:textId="673140D8" w:rsidR="00D25D64" w:rsidRPr="00DE76B9" w:rsidRDefault="00D25D64" w:rsidP="007C6A67">
      <w:pPr>
        <w:rPr>
          <w:rFonts w:cs="Arial"/>
          <w:sz w:val="22"/>
          <w:szCs w:val="22"/>
          <w:lang w:val="en-US"/>
        </w:rPr>
      </w:pPr>
    </w:p>
    <w:p w14:paraId="679180D9" w14:textId="133825CE" w:rsidR="00D25D64" w:rsidRPr="009F799A" w:rsidRDefault="00D25D64" w:rsidP="007C6A67">
      <w:pPr>
        <w:rPr>
          <w:rFonts w:cs="Arial"/>
          <w:sz w:val="22"/>
          <w:szCs w:val="22"/>
          <w:lang w:val="en-US"/>
        </w:rPr>
      </w:pPr>
      <w:r w:rsidRPr="00DE76B9">
        <w:rPr>
          <w:rFonts w:cs="Arial"/>
          <w:b/>
          <w:bCs/>
          <w:sz w:val="22"/>
          <w:szCs w:val="22"/>
          <w:lang w:val="en-US"/>
        </w:rPr>
        <w:t>Action</w:t>
      </w:r>
      <w:r w:rsidRPr="00DE76B9">
        <w:rPr>
          <w:rFonts w:cs="Arial"/>
          <w:sz w:val="22"/>
          <w:szCs w:val="22"/>
          <w:lang w:val="en-US"/>
        </w:rPr>
        <w:t>: As a way forward to addressing concerns about Interval placements, it was decided that a survey would collate feedback as the placements take place, to include staff and student views</w:t>
      </w:r>
      <w:r w:rsidR="00DD4679" w:rsidRPr="00DE76B9">
        <w:rPr>
          <w:rFonts w:cs="Arial"/>
          <w:sz w:val="22"/>
          <w:szCs w:val="22"/>
          <w:lang w:val="en-US"/>
        </w:rPr>
        <w:t>.</w:t>
      </w:r>
      <w:r w:rsidR="008F73EF" w:rsidRPr="00DE76B9">
        <w:rPr>
          <w:rFonts w:cs="Arial"/>
          <w:sz w:val="22"/>
          <w:szCs w:val="22"/>
          <w:lang w:val="en-US"/>
        </w:rPr>
        <w:t xml:space="preserve">  The caveat to be noted </w:t>
      </w:r>
      <w:r w:rsidR="007E066C" w:rsidRPr="00DE76B9">
        <w:rPr>
          <w:rFonts w:cs="Arial"/>
          <w:sz w:val="22"/>
          <w:szCs w:val="22"/>
          <w:lang w:val="en-US"/>
        </w:rPr>
        <w:t xml:space="preserve">is that no patient to be put at risk </w:t>
      </w:r>
      <w:r w:rsidR="00F458FD" w:rsidRPr="00F458FD">
        <w:rPr>
          <w:rFonts w:cs="Arial"/>
          <w:sz w:val="22"/>
          <w:szCs w:val="22"/>
          <w:lang w:val="en-US"/>
        </w:rPr>
        <w:t>a</w:t>
      </w:r>
      <w:r w:rsidR="009F799A" w:rsidRPr="00F458FD">
        <w:rPr>
          <w:rFonts w:cs="Arial"/>
          <w:sz w:val="22"/>
          <w:szCs w:val="22"/>
          <w:lang w:val="en-US"/>
        </w:rPr>
        <w:t>nd where students have not previously experienced a placement setting</w:t>
      </w:r>
      <w:r w:rsidR="00564DE3" w:rsidRPr="00F458FD">
        <w:rPr>
          <w:rFonts w:cs="Arial"/>
          <w:sz w:val="22"/>
          <w:szCs w:val="22"/>
          <w:lang w:val="en-US"/>
        </w:rPr>
        <w:t xml:space="preserve"> e.g. Cumberland Centre</w:t>
      </w:r>
      <w:r w:rsidR="009F799A" w:rsidRPr="00F458FD">
        <w:rPr>
          <w:rFonts w:cs="Arial"/>
          <w:sz w:val="22"/>
          <w:szCs w:val="22"/>
          <w:lang w:val="en-US"/>
        </w:rPr>
        <w:t xml:space="preserve">, a thorough induction </w:t>
      </w:r>
      <w:r w:rsidR="00564DE3" w:rsidRPr="00F458FD">
        <w:rPr>
          <w:rFonts w:cs="Arial"/>
          <w:sz w:val="22"/>
          <w:szCs w:val="22"/>
          <w:lang w:val="en-US"/>
        </w:rPr>
        <w:t xml:space="preserve">will be </w:t>
      </w:r>
      <w:r w:rsidR="00541509" w:rsidRPr="00F458FD">
        <w:rPr>
          <w:rFonts w:cs="Arial"/>
          <w:sz w:val="22"/>
          <w:szCs w:val="22"/>
          <w:lang w:val="en-US"/>
        </w:rPr>
        <w:t>organized.</w:t>
      </w:r>
    </w:p>
    <w:p w14:paraId="0BD6BD21" w14:textId="48224ADE" w:rsidR="00A641DE" w:rsidRPr="00DE76B9" w:rsidRDefault="00A641DE" w:rsidP="007C6A67">
      <w:pPr>
        <w:rPr>
          <w:rFonts w:cs="Arial"/>
          <w:sz w:val="22"/>
          <w:szCs w:val="22"/>
          <w:lang w:val="en-US"/>
        </w:rPr>
      </w:pPr>
    </w:p>
    <w:p w14:paraId="4F7371AA" w14:textId="77777777" w:rsidR="00A641DE" w:rsidRPr="00DE76B9" w:rsidRDefault="00A641DE" w:rsidP="00A641DE">
      <w:pPr>
        <w:rPr>
          <w:rFonts w:cs="Arial"/>
          <w:sz w:val="22"/>
          <w:szCs w:val="22"/>
          <w:lang w:val="en-US"/>
        </w:rPr>
      </w:pPr>
      <w:proofErr w:type="spellStart"/>
      <w:r w:rsidRPr="00DE76B9">
        <w:rPr>
          <w:rFonts w:cs="Arial"/>
          <w:sz w:val="22"/>
          <w:szCs w:val="22"/>
          <w:lang w:val="en-US"/>
        </w:rPr>
        <w:t>UoP</w:t>
      </w:r>
      <w:proofErr w:type="spellEnd"/>
      <w:r w:rsidRPr="00DE76B9">
        <w:rPr>
          <w:rFonts w:cs="Arial"/>
          <w:sz w:val="22"/>
          <w:szCs w:val="22"/>
          <w:lang w:val="en-US"/>
        </w:rPr>
        <w:t xml:space="preserve"> confirmed that they will be happy to learn from feedback; will pay attention to safety and orientate students appropriately, as they would normally do.</w:t>
      </w:r>
    </w:p>
    <w:p w14:paraId="5795693A" w14:textId="19F2BFA6" w:rsidR="00CF1113" w:rsidRPr="00DE76B9" w:rsidRDefault="00CF1113" w:rsidP="007C6A67">
      <w:pPr>
        <w:rPr>
          <w:rFonts w:cs="Arial"/>
          <w:sz w:val="22"/>
          <w:szCs w:val="22"/>
          <w:lang w:val="en-US"/>
        </w:rPr>
      </w:pPr>
    </w:p>
    <w:p w14:paraId="10AEF429" w14:textId="6F61C571" w:rsidR="00CF1113" w:rsidRPr="00DE76B9" w:rsidRDefault="00CF1113" w:rsidP="007C6A67">
      <w:pPr>
        <w:rPr>
          <w:rFonts w:cs="Arial"/>
          <w:sz w:val="22"/>
          <w:szCs w:val="22"/>
          <w:lang w:val="en-US"/>
        </w:rPr>
      </w:pPr>
      <w:r w:rsidRPr="00DE76B9">
        <w:rPr>
          <w:rFonts w:cs="Arial"/>
          <w:b/>
          <w:bCs/>
          <w:sz w:val="22"/>
          <w:szCs w:val="22"/>
          <w:lang w:val="en-US"/>
        </w:rPr>
        <w:t>Action</w:t>
      </w:r>
      <w:r w:rsidRPr="00DE76B9">
        <w:rPr>
          <w:rFonts w:cs="Arial"/>
          <w:sz w:val="22"/>
          <w:szCs w:val="22"/>
          <w:lang w:val="en-US"/>
        </w:rPr>
        <w:t xml:space="preserve">: </w:t>
      </w:r>
      <w:r w:rsidR="004216EC">
        <w:rPr>
          <w:rFonts w:cs="Arial"/>
          <w:sz w:val="22"/>
          <w:szCs w:val="22"/>
          <w:lang w:val="en-US"/>
        </w:rPr>
        <w:t>UHP</w:t>
      </w:r>
      <w:r w:rsidRPr="00DE76B9">
        <w:rPr>
          <w:rFonts w:cs="Arial"/>
          <w:sz w:val="22"/>
          <w:szCs w:val="22"/>
          <w:lang w:val="en-US"/>
        </w:rPr>
        <w:t xml:space="preserve"> agreed to clarify in writing the concerns they have around interval placements</w:t>
      </w:r>
      <w:r w:rsidR="004A4EE1" w:rsidRPr="00DE76B9">
        <w:rPr>
          <w:rFonts w:cs="Arial"/>
          <w:sz w:val="22"/>
          <w:szCs w:val="22"/>
          <w:lang w:val="en-US"/>
        </w:rPr>
        <w:t xml:space="preserve"> to ensure all areas are addressed as fully as possible prior to students commencing.</w:t>
      </w:r>
    </w:p>
    <w:p w14:paraId="4AD109AB" w14:textId="506CC7F3" w:rsidR="00C13AF0" w:rsidRPr="00DE76B9" w:rsidRDefault="00C13AF0" w:rsidP="007C6A67">
      <w:pPr>
        <w:rPr>
          <w:rFonts w:cs="Arial"/>
          <w:sz w:val="22"/>
          <w:szCs w:val="22"/>
          <w:lang w:val="en-US"/>
        </w:rPr>
      </w:pPr>
    </w:p>
    <w:p w14:paraId="783FA584" w14:textId="3F79A953" w:rsidR="00C13AF0" w:rsidRPr="00DE76B9" w:rsidRDefault="00C13AF0" w:rsidP="007C6A67">
      <w:pPr>
        <w:rPr>
          <w:rFonts w:cs="Arial"/>
          <w:sz w:val="22"/>
          <w:szCs w:val="22"/>
          <w:lang w:val="en-US"/>
        </w:rPr>
      </w:pPr>
      <w:r w:rsidRPr="00DE76B9">
        <w:rPr>
          <w:rFonts w:cs="Arial"/>
          <w:b/>
          <w:bCs/>
          <w:sz w:val="22"/>
          <w:szCs w:val="22"/>
          <w:lang w:val="en-US"/>
        </w:rPr>
        <w:t>Action</w:t>
      </w:r>
      <w:r w:rsidRPr="00DE76B9">
        <w:rPr>
          <w:rFonts w:cs="Arial"/>
          <w:sz w:val="22"/>
          <w:szCs w:val="22"/>
          <w:lang w:val="en-US"/>
        </w:rPr>
        <w:t xml:space="preserve">: </w:t>
      </w:r>
      <w:proofErr w:type="spellStart"/>
      <w:r w:rsidR="003C337B" w:rsidRPr="00DE76B9">
        <w:rPr>
          <w:rFonts w:cs="Arial"/>
          <w:sz w:val="22"/>
          <w:szCs w:val="22"/>
          <w:lang w:val="en-US"/>
        </w:rPr>
        <w:t>Organisations</w:t>
      </w:r>
      <w:proofErr w:type="spellEnd"/>
      <w:r w:rsidR="003C337B" w:rsidRPr="00DE76B9">
        <w:rPr>
          <w:rFonts w:cs="Arial"/>
          <w:sz w:val="22"/>
          <w:szCs w:val="22"/>
          <w:lang w:val="en-US"/>
        </w:rPr>
        <w:t xml:space="preserve"> </w:t>
      </w:r>
      <w:r w:rsidR="004F6080" w:rsidRPr="00DE76B9">
        <w:rPr>
          <w:rFonts w:cs="Arial"/>
          <w:sz w:val="22"/>
          <w:szCs w:val="22"/>
          <w:lang w:val="en-US"/>
        </w:rPr>
        <w:t xml:space="preserve">agreed support from HEE was welcome going forward. </w:t>
      </w:r>
      <w:r w:rsidRPr="00DE76B9">
        <w:rPr>
          <w:rFonts w:cs="Arial"/>
          <w:sz w:val="22"/>
          <w:szCs w:val="22"/>
          <w:lang w:val="en-US"/>
        </w:rPr>
        <w:t>HEE to arrange further meeting in September</w:t>
      </w:r>
      <w:r w:rsidR="00B97182" w:rsidRPr="00DE76B9">
        <w:rPr>
          <w:rFonts w:cs="Arial"/>
          <w:sz w:val="22"/>
          <w:szCs w:val="22"/>
          <w:lang w:val="en-US"/>
        </w:rPr>
        <w:t>.</w:t>
      </w:r>
      <w:r w:rsidR="006B22D1" w:rsidRPr="00DE76B9">
        <w:rPr>
          <w:rFonts w:cs="Arial"/>
          <w:sz w:val="22"/>
          <w:szCs w:val="22"/>
          <w:lang w:val="en-US"/>
        </w:rPr>
        <w:t xml:space="preserve">  HEIs would value discussing overall capacity at September meeting</w:t>
      </w:r>
    </w:p>
    <w:p w14:paraId="723BA0B6" w14:textId="7491559C" w:rsidR="00BE1D66" w:rsidRPr="00DE76B9" w:rsidRDefault="00BE1D66" w:rsidP="007C6A67">
      <w:pPr>
        <w:rPr>
          <w:rFonts w:cs="Arial"/>
          <w:sz w:val="22"/>
          <w:szCs w:val="22"/>
          <w:lang w:val="en-US"/>
        </w:rPr>
      </w:pPr>
    </w:p>
    <w:p w14:paraId="4EB9E084" w14:textId="6BF257B7" w:rsidR="00BE1D66" w:rsidRPr="00DE76B9" w:rsidRDefault="00BE1D66" w:rsidP="00BE1D66">
      <w:pPr>
        <w:rPr>
          <w:rFonts w:eastAsia="Calibri" w:cs="Arial"/>
          <w:sz w:val="22"/>
          <w:szCs w:val="22"/>
          <w:lang w:eastAsia="en-GB"/>
        </w:rPr>
      </w:pPr>
    </w:p>
    <w:p w14:paraId="7DCEA90B" w14:textId="5453A823" w:rsidR="00BE1D66" w:rsidRPr="00DE76B9" w:rsidRDefault="00BE1D66" w:rsidP="00BE1D66">
      <w:pPr>
        <w:rPr>
          <w:rFonts w:eastAsia="Calibri" w:cs="Arial"/>
          <w:sz w:val="22"/>
          <w:szCs w:val="22"/>
        </w:rPr>
      </w:pPr>
    </w:p>
    <w:p w14:paraId="28662B0C" w14:textId="728E2726" w:rsidR="00F515D2" w:rsidRPr="00DE76B9" w:rsidRDefault="00F515D2" w:rsidP="00BE1D66">
      <w:pPr>
        <w:rPr>
          <w:rFonts w:eastAsia="Calibri" w:cs="Arial"/>
          <w:sz w:val="22"/>
          <w:szCs w:val="22"/>
        </w:rPr>
      </w:pPr>
    </w:p>
    <w:p w14:paraId="5280DB0F" w14:textId="3460AAD6" w:rsidR="00F515D2" w:rsidRPr="00DE76B9" w:rsidRDefault="00F515D2" w:rsidP="00BE1D66">
      <w:pPr>
        <w:rPr>
          <w:rFonts w:eastAsia="Calibri" w:cs="Arial"/>
          <w:sz w:val="22"/>
          <w:szCs w:val="22"/>
        </w:rPr>
      </w:pPr>
    </w:p>
    <w:p w14:paraId="7B86AC27" w14:textId="78876141" w:rsidR="00F515D2" w:rsidRDefault="00F515D2" w:rsidP="00BE1D66">
      <w:pPr>
        <w:rPr>
          <w:rFonts w:ascii="Calibri" w:eastAsia="Calibri" w:hAnsi="Calibri" w:cs="Calibri"/>
          <w:sz w:val="22"/>
          <w:szCs w:val="22"/>
        </w:rPr>
      </w:pPr>
    </w:p>
    <w:p w14:paraId="7CAAFC03" w14:textId="4692F39A" w:rsidR="00F515D2" w:rsidRDefault="00F515D2" w:rsidP="00BE1D66">
      <w:pPr>
        <w:rPr>
          <w:rFonts w:ascii="Calibri" w:eastAsia="Calibri" w:hAnsi="Calibri" w:cs="Calibri"/>
          <w:sz w:val="22"/>
          <w:szCs w:val="22"/>
        </w:rPr>
      </w:pPr>
    </w:p>
    <w:p w14:paraId="0E98462C" w14:textId="02C8B6B1" w:rsidR="00F515D2" w:rsidRDefault="00F515D2" w:rsidP="00BE1D66">
      <w:pPr>
        <w:rPr>
          <w:rFonts w:ascii="Calibri" w:eastAsia="Calibri" w:hAnsi="Calibri" w:cs="Calibri"/>
          <w:sz w:val="22"/>
          <w:szCs w:val="22"/>
        </w:rPr>
      </w:pPr>
    </w:p>
    <w:p w14:paraId="69155A52" w14:textId="7336FA91" w:rsidR="00F515D2" w:rsidRDefault="00F515D2" w:rsidP="00BE1D66">
      <w:pPr>
        <w:rPr>
          <w:rFonts w:ascii="Calibri" w:eastAsia="Calibri" w:hAnsi="Calibri" w:cs="Calibri"/>
          <w:sz w:val="22"/>
          <w:szCs w:val="22"/>
        </w:rPr>
      </w:pPr>
    </w:p>
    <w:p w14:paraId="1F378A68" w14:textId="30C589D4" w:rsidR="00F515D2" w:rsidRDefault="00F515D2" w:rsidP="00BE1D66">
      <w:pPr>
        <w:rPr>
          <w:rFonts w:ascii="Calibri" w:eastAsia="Calibri" w:hAnsi="Calibri" w:cs="Calibri"/>
          <w:sz w:val="22"/>
          <w:szCs w:val="22"/>
        </w:rPr>
      </w:pPr>
    </w:p>
    <w:p w14:paraId="25455FE3" w14:textId="77777777" w:rsidR="00F515D2" w:rsidRPr="00BE1D66" w:rsidRDefault="00F515D2" w:rsidP="00BE1D66">
      <w:pPr>
        <w:rPr>
          <w:rFonts w:ascii="Calibri" w:eastAsia="Calibri" w:hAnsi="Calibri" w:cs="Calibri"/>
          <w:sz w:val="22"/>
          <w:szCs w:val="22"/>
        </w:rPr>
      </w:pPr>
    </w:p>
    <w:p w14:paraId="03134DDC" w14:textId="77777777" w:rsidR="00BE1D66" w:rsidRDefault="00BE1D66" w:rsidP="007C6A67">
      <w:pPr>
        <w:rPr>
          <w:rFonts w:cs="Arial"/>
          <w:lang w:val="en-US"/>
        </w:rPr>
      </w:pPr>
    </w:p>
    <w:p w14:paraId="5B48B8BC" w14:textId="77777777" w:rsidR="00BC644F" w:rsidRDefault="00CD2EEF" w:rsidP="00CD2EEF">
      <w:pPr>
        <w:pStyle w:val="Heading1"/>
        <w:jc w:val="center"/>
      </w:pPr>
      <w:r>
        <w:t>Appendix 1:</w:t>
      </w:r>
      <w:r w:rsidR="00BC644F">
        <w:t xml:space="preserve"> HEE Quality Framework Domains </w:t>
      </w:r>
      <w:r>
        <w:t>&amp;</w:t>
      </w:r>
      <w:r w:rsidR="00BC644F">
        <w:t xml:space="preserve"> Standards</w:t>
      </w:r>
      <w:r w:rsidR="0016721E">
        <w:t xml:space="preserve"> </w:t>
      </w:r>
    </w:p>
    <w:tbl>
      <w:tblPr>
        <w:tblStyle w:val="TableGrid"/>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0168"/>
      </w:tblGrid>
      <w:tr w:rsidR="005A50A0" w:rsidRPr="0016721E" w14:paraId="5B48B8BE" w14:textId="77777777" w:rsidTr="0016721E">
        <w:trPr>
          <w:cantSplit/>
        </w:trPr>
        <w:tc>
          <w:tcPr>
            <w:tcW w:w="10414" w:type="dxa"/>
            <w:shd w:val="clear" w:color="auto" w:fill="0070C0"/>
          </w:tcPr>
          <w:p w14:paraId="5B48B8BD" w14:textId="77777777" w:rsidR="005A50A0" w:rsidRPr="0016721E" w:rsidRDefault="005A50A0" w:rsidP="0016721E">
            <w:pPr>
              <w:pStyle w:val="Heading2"/>
              <w:spacing w:before="40" w:after="40" w:afterAutospacing="0"/>
              <w:rPr>
                <w:rFonts w:cs="Arial"/>
                <w:sz w:val="24"/>
                <w:szCs w:val="24"/>
                <w:lang w:eastAsia="en-GB"/>
              </w:rPr>
            </w:pPr>
            <w:r w:rsidRPr="0016721E">
              <w:rPr>
                <w:rFonts w:cs="Arial"/>
                <w:color w:val="FFFFFF" w:themeColor="background1"/>
                <w:sz w:val="24"/>
                <w:szCs w:val="24"/>
                <w:lang w:eastAsia="en-GB"/>
              </w:rPr>
              <w:t>Domain 1 - Learning environment and culture</w:t>
            </w:r>
          </w:p>
        </w:tc>
      </w:tr>
      <w:tr w:rsidR="005A50A0" w:rsidRPr="0016721E" w14:paraId="5B48B8C5" w14:textId="77777777" w:rsidTr="0016721E">
        <w:trPr>
          <w:cantSplit/>
        </w:trPr>
        <w:tc>
          <w:tcPr>
            <w:tcW w:w="10414" w:type="dxa"/>
          </w:tcPr>
          <w:p w14:paraId="5B48B8BF" w14:textId="77777777" w:rsidR="005A50A0" w:rsidRPr="00D77FB6" w:rsidRDefault="00D77FB6" w:rsidP="009D07E1">
            <w:pPr>
              <w:pStyle w:val="ListParagraph"/>
              <w:numPr>
                <w:ilvl w:val="1"/>
                <w:numId w:val="3"/>
              </w:numPr>
            </w:pPr>
            <w:r w:rsidRPr="00D77FB6">
              <w:t>Learners are in an environment that delivers safe, effective, compassionate care that provides a positive experience for service users.</w:t>
            </w:r>
          </w:p>
          <w:p w14:paraId="5B48B8C0" w14:textId="77777777" w:rsidR="00D77FB6" w:rsidRPr="00D77FB6" w:rsidRDefault="00D77FB6" w:rsidP="009D07E1">
            <w:pPr>
              <w:pStyle w:val="ListParagraph"/>
              <w:numPr>
                <w:ilvl w:val="1"/>
                <w:numId w:val="3"/>
              </w:numPr>
              <w:rPr>
                <w:lang w:eastAsia="en-GB"/>
              </w:rPr>
            </w:pPr>
            <w:r w:rsidRPr="000906E1">
              <w:t>The learning environment is one in which education and training is valued and learners are treated fairly, with d</w:t>
            </w:r>
            <w:r w:rsidRPr="00D77FB6">
              <w:t>ignity and respect, and are not subject to negative attitudes or behaviours</w:t>
            </w:r>
            <w:r>
              <w:t>.</w:t>
            </w:r>
          </w:p>
          <w:p w14:paraId="5B48B8C1" w14:textId="77777777" w:rsidR="00D77FB6" w:rsidRPr="00D77FB6" w:rsidRDefault="00D77FB6" w:rsidP="009D07E1">
            <w:pPr>
              <w:pStyle w:val="ListParagraph"/>
              <w:numPr>
                <w:ilvl w:val="1"/>
                <w:numId w:val="3"/>
              </w:numPr>
              <w:rPr>
                <w:lang w:eastAsia="en-GB"/>
              </w:rPr>
            </w:pPr>
            <w:r w:rsidRPr="000906E1">
              <w:t xml:space="preserve">There are opportunities for learners to be involved in activities that facilitate quality improvement (QI), </w:t>
            </w:r>
            <w:proofErr w:type="gramStart"/>
            <w:r w:rsidRPr="000906E1">
              <w:t>evidence based</w:t>
            </w:r>
            <w:proofErr w:type="gramEnd"/>
            <w:r w:rsidRPr="000906E1">
              <w:t xml:space="preserve"> practice (EBP) and research and innovation (R&amp;I)</w:t>
            </w:r>
            <w:r>
              <w:t>.</w:t>
            </w:r>
          </w:p>
          <w:p w14:paraId="5B48B8C2" w14:textId="77777777" w:rsidR="00D77FB6" w:rsidRPr="00D77FB6" w:rsidRDefault="00D77FB6" w:rsidP="009D07E1">
            <w:pPr>
              <w:pStyle w:val="ListParagraph"/>
              <w:numPr>
                <w:ilvl w:val="1"/>
                <w:numId w:val="3"/>
              </w:numPr>
              <w:rPr>
                <w:lang w:eastAsia="en-GB"/>
              </w:rPr>
            </w:pPr>
            <w:r w:rsidRPr="000906E1">
              <w:t>There are opportunities for learners to engage in reflective practice with service users, applying learning from both positive and negative experiences and outcomes</w:t>
            </w:r>
            <w:r>
              <w:t>.</w:t>
            </w:r>
          </w:p>
          <w:p w14:paraId="5B48B8C3" w14:textId="77777777" w:rsidR="00D77FB6" w:rsidRPr="00D77FB6" w:rsidRDefault="00D77FB6" w:rsidP="009D07E1">
            <w:pPr>
              <w:pStyle w:val="ListParagraph"/>
              <w:numPr>
                <w:ilvl w:val="1"/>
                <w:numId w:val="3"/>
              </w:numPr>
              <w:rPr>
                <w:lang w:eastAsia="en-GB"/>
              </w:rPr>
            </w:pPr>
            <w:r w:rsidRPr="000906E1">
              <w:t>The learning environment provides suitable educational facilities for both learners and educators, including space, IT facilities and access to quality assured library and knowledge services</w:t>
            </w:r>
            <w:r>
              <w:t>.</w:t>
            </w:r>
          </w:p>
          <w:p w14:paraId="5B48B8C4" w14:textId="77777777" w:rsidR="006D4858" w:rsidRPr="00D77FB6" w:rsidRDefault="00D77FB6" w:rsidP="00DC1F14">
            <w:pPr>
              <w:pStyle w:val="ListParagraph"/>
              <w:numPr>
                <w:ilvl w:val="1"/>
                <w:numId w:val="3"/>
              </w:numPr>
              <w:rPr>
                <w:lang w:eastAsia="en-GB"/>
              </w:rPr>
            </w:pPr>
            <w:r w:rsidRPr="000906E1">
              <w:t>The learning environment maximises inter-professional learning opportunities</w:t>
            </w:r>
            <w:r>
              <w:t>.</w:t>
            </w:r>
          </w:p>
        </w:tc>
      </w:tr>
      <w:tr w:rsidR="005A50A0" w:rsidRPr="0016721E" w14:paraId="5B48B8C7" w14:textId="77777777" w:rsidTr="0016721E">
        <w:trPr>
          <w:cantSplit/>
        </w:trPr>
        <w:tc>
          <w:tcPr>
            <w:tcW w:w="10414" w:type="dxa"/>
            <w:shd w:val="clear" w:color="auto" w:fill="0070C0"/>
          </w:tcPr>
          <w:p w14:paraId="5B48B8C6" w14:textId="77777777" w:rsidR="005A50A0" w:rsidRPr="0016721E" w:rsidRDefault="005A50A0" w:rsidP="0016721E">
            <w:pPr>
              <w:pStyle w:val="Heading2"/>
              <w:spacing w:before="40" w:after="40" w:afterAutospacing="0"/>
              <w:rPr>
                <w:rFonts w:cs="Arial"/>
                <w:sz w:val="24"/>
                <w:szCs w:val="24"/>
              </w:rPr>
            </w:pPr>
            <w:r w:rsidRPr="0016721E">
              <w:rPr>
                <w:rFonts w:cs="Arial"/>
                <w:color w:val="FFFFFF" w:themeColor="background1"/>
                <w:sz w:val="24"/>
                <w:szCs w:val="24"/>
              </w:rPr>
              <w:t>Domain 2 – Educational governance and leadership</w:t>
            </w:r>
          </w:p>
        </w:tc>
      </w:tr>
      <w:tr w:rsidR="005A50A0" w:rsidRPr="0016721E" w14:paraId="5B48B8CD" w14:textId="77777777" w:rsidTr="0016721E">
        <w:trPr>
          <w:cantSplit/>
        </w:trPr>
        <w:tc>
          <w:tcPr>
            <w:tcW w:w="10414" w:type="dxa"/>
          </w:tcPr>
          <w:p w14:paraId="5B48B8C8" w14:textId="77777777" w:rsidR="00B96343" w:rsidRDefault="009D07E1" w:rsidP="00B96343">
            <w:pPr>
              <w:pStyle w:val="ListParagraph"/>
              <w:numPr>
                <w:ilvl w:val="1"/>
                <w:numId w:val="14"/>
              </w:numPr>
            </w:pPr>
            <w:r w:rsidRPr="00DC1F14">
              <w:t xml:space="preserve">The educational governance </w:t>
            </w:r>
            <w:r w:rsidR="0089418E" w:rsidRPr="00DC1F14">
              <w:t>arrangements measure performance against the quality standards and actively respond’s</w:t>
            </w:r>
            <w:r w:rsidRPr="00DC1F14">
              <w:t xml:space="preserve"> when standards are not being met</w:t>
            </w:r>
            <w:r w:rsidR="0089418E" w:rsidRPr="00DC1F14">
              <w:t>.</w:t>
            </w:r>
          </w:p>
          <w:p w14:paraId="5B48B8C9" w14:textId="77777777" w:rsidR="00B96343" w:rsidRDefault="0089418E" w:rsidP="00B96343">
            <w:pPr>
              <w:pStyle w:val="ListParagraph"/>
              <w:numPr>
                <w:ilvl w:val="1"/>
                <w:numId w:val="14"/>
              </w:numPr>
            </w:pPr>
            <w:r w:rsidRPr="00DC1F14">
              <w:t>The educational leadership uses the educational governance arrangements to continuously improve the quality of education and training.</w:t>
            </w:r>
          </w:p>
          <w:p w14:paraId="5B48B8CA" w14:textId="77777777" w:rsidR="00B96343" w:rsidRDefault="0089418E" w:rsidP="00B96343">
            <w:pPr>
              <w:pStyle w:val="ListParagraph"/>
              <w:numPr>
                <w:ilvl w:val="1"/>
                <w:numId w:val="14"/>
              </w:numPr>
            </w:pPr>
            <w:r w:rsidRPr="00DC1F14">
              <w:t>The educational leadership promotes team-working and a multi-professional approach to education and training, where appropriate.</w:t>
            </w:r>
          </w:p>
          <w:p w14:paraId="5B48B8CB" w14:textId="77777777" w:rsidR="00B96343" w:rsidRDefault="0089418E" w:rsidP="00B96343">
            <w:pPr>
              <w:pStyle w:val="ListParagraph"/>
              <w:numPr>
                <w:ilvl w:val="1"/>
                <w:numId w:val="14"/>
              </w:numPr>
            </w:pPr>
            <w:r w:rsidRPr="00DC1F14">
              <w:t>Education and training opportunities are based on principles of equality and diversity.</w:t>
            </w:r>
          </w:p>
          <w:p w14:paraId="5B48B8CC" w14:textId="77777777" w:rsidR="00DC1F14" w:rsidRPr="0017763C" w:rsidRDefault="0089418E" w:rsidP="00B96343">
            <w:pPr>
              <w:pStyle w:val="ListParagraph"/>
              <w:numPr>
                <w:ilvl w:val="1"/>
                <w:numId w:val="14"/>
              </w:numPr>
            </w:pPr>
            <w:r w:rsidRPr="00DC1F14">
              <w:t>There are processes in place to inform the appropriate stakeholders when performance issues with learners are identified or learners are involved in patient safety incidents</w:t>
            </w:r>
            <w:r w:rsidR="00DC1F14" w:rsidRPr="00DC1F14">
              <w:t>.</w:t>
            </w:r>
          </w:p>
        </w:tc>
      </w:tr>
      <w:tr w:rsidR="005A50A0" w:rsidRPr="0016721E" w14:paraId="5B48B8CF" w14:textId="77777777" w:rsidTr="0016721E">
        <w:trPr>
          <w:cantSplit/>
        </w:trPr>
        <w:tc>
          <w:tcPr>
            <w:tcW w:w="10414" w:type="dxa"/>
            <w:shd w:val="clear" w:color="auto" w:fill="0070C0"/>
          </w:tcPr>
          <w:p w14:paraId="5B48B8CE" w14:textId="77777777" w:rsidR="005A50A0" w:rsidRPr="0016721E" w:rsidRDefault="005A50A0" w:rsidP="0016721E">
            <w:pPr>
              <w:pStyle w:val="Heading2"/>
              <w:spacing w:before="40" w:after="40" w:afterAutospacing="0"/>
              <w:rPr>
                <w:rFonts w:cs="Arial"/>
                <w:sz w:val="24"/>
                <w:szCs w:val="24"/>
                <w:lang w:eastAsia="en-GB"/>
              </w:rPr>
            </w:pPr>
            <w:r w:rsidRPr="0016721E">
              <w:rPr>
                <w:rFonts w:cs="Arial"/>
                <w:color w:val="FFFFFF" w:themeColor="background1"/>
                <w:sz w:val="24"/>
                <w:szCs w:val="24"/>
                <w:lang w:eastAsia="en-GB"/>
              </w:rPr>
              <w:t>Domain 3 – Supporting and empowering learners</w:t>
            </w:r>
          </w:p>
        </w:tc>
      </w:tr>
      <w:tr w:rsidR="005A50A0" w:rsidRPr="0016721E" w14:paraId="5B48B8D5" w14:textId="77777777" w:rsidTr="0016721E">
        <w:trPr>
          <w:cantSplit/>
        </w:trPr>
        <w:tc>
          <w:tcPr>
            <w:tcW w:w="10414" w:type="dxa"/>
          </w:tcPr>
          <w:p w14:paraId="5B48B8D0" w14:textId="77777777" w:rsidR="00B96343" w:rsidRDefault="0017763C" w:rsidP="00B96343">
            <w:pPr>
              <w:pStyle w:val="GMCNumbertext"/>
              <w:numPr>
                <w:ilvl w:val="1"/>
                <w:numId w:val="16"/>
              </w:numPr>
              <w:tabs>
                <w:tab w:val="left" w:pos="3402"/>
                <w:tab w:val="left" w:pos="5670"/>
              </w:tabs>
              <w:spacing w:before="40" w:after="0" w:line="240" w:lineRule="auto"/>
              <w:jc w:val="both"/>
              <w:rPr>
                <w:rFonts w:ascii="Arial" w:hAnsi="Arial" w:cs="Arial"/>
                <w:sz w:val="18"/>
                <w:szCs w:val="18"/>
              </w:rPr>
            </w:pPr>
            <w:r w:rsidRPr="0017763C">
              <w:rPr>
                <w:rFonts w:ascii="Arial" w:hAnsi="Arial" w:cs="Arial"/>
                <w:sz w:val="18"/>
                <w:szCs w:val="18"/>
              </w:rPr>
              <w:t>Learners receive educational and pastoral support to be able to demonstrate what is expected in their curriculum or professional standards to achieve the learning outcomes required.</w:t>
            </w:r>
          </w:p>
          <w:p w14:paraId="5B48B8D1" w14:textId="77777777" w:rsidR="00B96343" w:rsidRDefault="0017763C" w:rsidP="00B96343">
            <w:pPr>
              <w:pStyle w:val="GMCNumbertext"/>
              <w:numPr>
                <w:ilvl w:val="1"/>
                <w:numId w:val="16"/>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Learners are supported to complete appropriate summative and formative assessments to evidence that they are meeting their curriculum, professional standards and / or learning outcomes.</w:t>
            </w:r>
          </w:p>
          <w:p w14:paraId="5B48B8D2" w14:textId="77777777" w:rsidR="00B96343" w:rsidRDefault="0017763C" w:rsidP="00B96343">
            <w:pPr>
              <w:pStyle w:val="GMCNumbertext"/>
              <w:numPr>
                <w:ilvl w:val="1"/>
                <w:numId w:val="16"/>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Learners feel they are valued members of the healthcare team within which they are placed.</w:t>
            </w:r>
          </w:p>
          <w:p w14:paraId="5B48B8D3" w14:textId="77777777" w:rsidR="00B96343" w:rsidRDefault="0017763C" w:rsidP="00B96343">
            <w:pPr>
              <w:pStyle w:val="GMCNumbertext"/>
              <w:numPr>
                <w:ilvl w:val="1"/>
                <w:numId w:val="16"/>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Learners receive an appropriate and timely induction into the learning environment.</w:t>
            </w:r>
          </w:p>
          <w:p w14:paraId="5B48B8D4" w14:textId="77777777" w:rsidR="0017763C" w:rsidRPr="00B96343" w:rsidRDefault="0017763C" w:rsidP="00B96343">
            <w:pPr>
              <w:pStyle w:val="GMCNumbertext"/>
              <w:numPr>
                <w:ilvl w:val="1"/>
                <w:numId w:val="16"/>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Learners understand their role and the context of their placement in relation to care pathways and patient journeys.</w:t>
            </w:r>
          </w:p>
        </w:tc>
      </w:tr>
      <w:tr w:rsidR="005A50A0" w:rsidRPr="0016721E" w14:paraId="5B48B8D7" w14:textId="77777777" w:rsidTr="0016721E">
        <w:trPr>
          <w:cantSplit/>
        </w:trPr>
        <w:tc>
          <w:tcPr>
            <w:tcW w:w="10414" w:type="dxa"/>
            <w:shd w:val="clear" w:color="auto" w:fill="0070C0"/>
          </w:tcPr>
          <w:p w14:paraId="5B48B8D6" w14:textId="77777777" w:rsidR="005A50A0" w:rsidRPr="0016721E" w:rsidRDefault="005A50A0" w:rsidP="0016721E">
            <w:pPr>
              <w:pStyle w:val="Heading2"/>
              <w:spacing w:before="40" w:after="40" w:afterAutospacing="0"/>
              <w:rPr>
                <w:rFonts w:cs="Arial"/>
                <w:sz w:val="24"/>
                <w:szCs w:val="24"/>
                <w:lang w:eastAsia="en-GB"/>
              </w:rPr>
            </w:pPr>
            <w:r w:rsidRPr="0016721E">
              <w:rPr>
                <w:rFonts w:cs="Arial"/>
                <w:color w:val="FFFFFF" w:themeColor="background1"/>
                <w:sz w:val="24"/>
                <w:szCs w:val="24"/>
                <w:lang w:eastAsia="en-GB"/>
              </w:rPr>
              <w:t>Domain 4 – Supporting and empowering educators</w:t>
            </w:r>
          </w:p>
        </w:tc>
      </w:tr>
      <w:tr w:rsidR="005A50A0" w:rsidRPr="0016721E" w14:paraId="5B48B8DD" w14:textId="77777777" w:rsidTr="0016721E">
        <w:trPr>
          <w:cantSplit/>
        </w:trPr>
        <w:tc>
          <w:tcPr>
            <w:tcW w:w="10414" w:type="dxa"/>
          </w:tcPr>
          <w:p w14:paraId="5B48B8D8" w14:textId="77777777" w:rsidR="00B96343" w:rsidRDefault="0017763C" w:rsidP="0017763C">
            <w:pPr>
              <w:pStyle w:val="ListParagraph"/>
              <w:numPr>
                <w:ilvl w:val="1"/>
                <w:numId w:val="19"/>
              </w:numPr>
            </w:pPr>
            <w:r w:rsidRPr="00B96343">
              <w:t>Those undertaking formal education and training roles are appropriately trained as defined by the relevant regulator or professional body.</w:t>
            </w:r>
          </w:p>
          <w:p w14:paraId="5B48B8D9" w14:textId="77777777" w:rsidR="00B96343" w:rsidRDefault="0017763C" w:rsidP="0017763C">
            <w:pPr>
              <w:pStyle w:val="ListParagraph"/>
              <w:numPr>
                <w:ilvl w:val="1"/>
                <w:numId w:val="19"/>
              </w:numPr>
            </w:pPr>
            <w:r w:rsidRPr="00B96343">
              <w:t>Educators are familiar with the curricula of the learners they are educating.</w:t>
            </w:r>
          </w:p>
          <w:p w14:paraId="5B48B8DA" w14:textId="77777777" w:rsidR="00B96343" w:rsidRDefault="0017763C" w:rsidP="0017763C">
            <w:pPr>
              <w:pStyle w:val="ListParagraph"/>
              <w:numPr>
                <w:ilvl w:val="1"/>
                <w:numId w:val="19"/>
              </w:numPr>
            </w:pPr>
            <w:r w:rsidRPr="00B96343">
              <w:t>Educator performance is assessed through appraisals or other appropriate mechanisms, with constructive feedback and support provided for role development and progression.</w:t>
            </w:r>
          </w:p>
          <w:p w14:paraId="5B48B8DB" w14:textId="77777777" w:rsidR="00B96343" w:rsidRDefault="0017763C" w:rsidP="0017763C">
            <w:pPr>
              <w:pStyle w:val="ListParagraph"/>
              <w:numPr>
                <w:ilvl w:val="1"/>
                <w:numId w:val="19"/>
              </w:numPr>
            </w:pPr>
            <w:r w:rsidRPr="00B96343">
              <w:t>Formally recognised educators are appropriately supported to undertake their roles.</w:t>
            </w:r>
          </w:p>
          <w:p w14:paraId="5B48B8DC" w14:textId="77777777" w:rsidR="0017763C" w:rsidRPr="00B96343" w:rsidRDefault="0017763C" w:rsidP="0017763C">
            <w:pPr>
              <w:pStyle w:val="ListParagraph"/>
              <w:numPr>
                <w:ilvl w:val="1"/>
                <w:numId w:val="19"/>
              </w:numPr>
            </w:pPr>
            <w:r w:rsidRPr="00B96343">
              <w:t>Educators are supported to undertake formative and summative assessments of learners as required.</w:t>
            </w:r>
          </w:p>
        </w:tc>
      </w:tr>
      <w:tr w:rsidR="00FF78D4" w:rsidRPr="0016721E" w14:paraId="5B48B8DF" w14:textId="77777777" w:rsidTr="0016721E">
        <w:trPr>
          <w:cantSplit/>
        </w:trPr>
        <w:tc>
          <w:tcPr>
            <w:tcW w:w="10414" w:type="dxa"/>
            <w:shd w:val="clear" w:color="auto" w:fill="0070C0"/>
          </w:tcPr>
          <w:p w14:paraId="5B48B8DE" w14:textId="77777777" w:rsidR="00FF78D4" w:rsidRPr="0016721E" w:rsidRDefault="00FF78D4" w:rsidP="0017763C">
            <w:pPr>
              <w:pStyle w:val="GMCNumbertext"/>
              <w:numPr>
                <w:ilvl w:val="0"/>
                <w:numId w:val="0"/>
              </w:numPr>
              <w:tabs>
                <w:tab w:val="left" w:pos="3402"/>
                <w:tab w:val="left" w:pos="5670"/>
              </w:tabs>
              <w:spacing w:before="40" w:after="40" w:line="240" w:lineRule="auto"/>
              <w:jc w:val="both"/>
              <w:rPr>
                <w:rFonts w:ascii="Arial" w:hAnsi="Arial" w:cs="Arial"/>
                <w:b/>
                <w:bCs/>
                <w:color w:val="auto"/>
                <w:lang w:eastAsia="en-GB"/>
              </w:rPr>
            </w:pPr>
            <w:r w:rsidRPr="0016721E">
              <w:rPr>
                <w:rFonts w:ascii="Arial" w:hAnsi="Arial" w:cs="Arial"/>
                <w:b/>
                <w:color w:val="FFFFFF" w:themeColor="background1"/>
              </w:rPr>
              <w:t xml:space="preserve">Domain 5 – Developing and </w:t>
            </w:r>
            <w:r w:rsidR="0017763C">
              <w:rPr>
                <w:rFonts w:ascii="Arial" w:hAnsi="Arial" w:cs="Arial"/>
                <w:b/>
                <w:color w:val="FFFFFF" w:themeColor="background1"/>
              </w:rPr>
              <w:t>implemen</w:t>
            </w:r>
            <w:r w:rsidRPr="0016721E">
              <w:rPr>
                <w:rFonts w:ascii="Arial" w:hAnsi="Arial" w:cs="Arial"/>
                <w:b/>
                <w:color w:val="FFFFFF" w:themeColor="background1"/>
              </w:rPr>
              <w:t>ting curricula and assessments</w:t>
            </w:r>
          </w:p>
        </w:tc>
      </w:tr>
      <w:tr w:rsidR="00FF78D4" w:rsidRPr="0016721E" w14:paraId="5B48B8E3" w14:textId="77777777" w:rsidTr="0016721E">
        <w:trPr>
          <w:cantSplit/>
        </w:trPr>
        <w:tc>
          <w:tcPr>
            <w:tcW w:w="10414" w:type="dxa"/>
            <w:shd w:val="clear" w:color="auto" w:fill="FFFFFF" w:themeFill="background1"/>
          </w:tcPr>
          <w:p w14:paraId="5B48B8E0" w14:textId="77777777" w:rsidR="00B96343" w:rsidRDefault="0017763C" w:rsidP="00B96343">
            <w:pPr>
              <w:pStyle w:val="GMCNumbertext"/>
              <w:numPr>
                <w:ilvl w:val="1"/>
                <w:numId w:val="21"/>
              </w:numPr>
              <w:tabs>
                <w:tab w:val="left" w:pos="3402"/>
                <w:tab w:val="left" w:pos="5670"/>
              </w:tabs>
              <w:spacing w:before="40" w:after="0" w:line="240" w:lineRule="auto"/>
              <w:jc w:val="both"/>
              <w:rPr>
                <w:rFonts w:ascii="Arial" w:hAnsi="Arial" w:cs="Arial"/>
                <w:sz w:val="18"/>
                <w:szCs w:val="18"/>
              </w:rPr>
            </w:pPr>
            <w:r w:rsidRPr="0017763C">
              <w:rPr>
                <w:rFonts w:ascii="Arial" w:hAnsi="Arial" w:cs="Arial"/>
                <w:sz w:val="18"/>
                <w:szCs w:val="18"/>
              </w:rPr>
              <w:t>The planning and delivery of curricula, assessments and programmes enable learners to meet the learning outcomes required by their curriculum or required professional standards.</w:t>
            </w:r>
          </w:p>
          <w:p w14:paraId="5B48B8E1" w14:textId="77777777" w:rsidR="00B96343" w:rsidRDefault="0017763C" w:rsidP="00B96343">
            <w:pPr>
              <w:pStyle w:val="GMCNumbertext"/>
              <w:numPr>
                <w:ilvl w:val="1"/>
                <w:numId w:val="21"/>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Placement providers shape the delivery of curricula, assessments and programmes to ensure the content is responsive to changes in treatments, technologies and care delivery models.</w:t>
            </w:r>
          </w:p>
          <w:p w14:paraId="5B48B8E2" w14:textId="77777777" w:rsidR="0017763C" w:rsidRPr="00B96343" w:rsidRDefault="0017763C" w:rsidP="00B96343">
            <w:pPr>
              <w:pStyle w:val="GMCNumbertext"/>
              <w:numPr>
                <w:ilvl w:val="1"/>
                <w:numId w:val="21"/>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Providers proactively engage patients, service users and learners in the development and delivery of education and training to embed the ethos of patient partnership within the learning environment.</w:t>
            </w:r>
          </w:p>
        </w:tc>
      </w:tr>
      <w:tr w:rsidR="00FF78D4" w:rsidRPr="0016721E" w14:paraId="5B48B8E5" w14:textId="77777777" w:rsidTr="0016721E">
        <w:trPr>
          <w:cantSplit/>
        </w:trPr>
        <w:tc>
          <w:tcPr>
            <w:tcW w:w="10414" w:type="dxa"/>
            <w:shd w:val="clear" w:color="auto" w:fill="0070C0"/>
          </w:tcPr>
          <w:p w14:paraId="5B48B8E4" w14:textId="77777777" w:rsidR="00FF78D4" w:rsidRPr="0016721E" w:rsidRDefault="00FF78D4" w:rsidP="0016721E">
            <w:pPr>
              <w:pStyle w:val="GMCNumbertext"/>
              <w:numPr>
                <w:ilvl w:val="0"/>
                <w:numId w:val="0"/>
              </w:numPr>
              <w:tabs>
                <w:tab w:val="left" w:pos="3402"/>
                <w:tab w:val="left" w:pos="5670"/>
              </w:tabs>
              <w:spacing w:before="40" w:after="40" w:line="240" w:lineRule="auto"/>
              <w:jc w:val="both"/>
              <w:rPr>
                <w:rFonts w:ascii="Arial" w:hAnsi="Arial" w:cs="Arial"/>
                <w:b/>
                <w:bCs/>
                <w:color w:val="auto"/>
                <w:lang w:eastAsia="en-GB"/>
              </w:rPr>
            </w:pPr>
            <w:r w:rsidRPr="0016721E">
              <w:rPr>
                <w:rFonts w:ascii="Arial" w:hAnsi="Arial" w:cs="Arial"/>
                <w:b/>
                <w:color w:val="FFFFFF" w:themeColor="background1"/>
              </w:rPr>
              <w:t>Domain 6 – Developing a sustainable workforce</w:t>
            </w:r>
          </w:p>
        </w:tc>
      </w:tr>
      <w:tr w:rsidR="00FF78D4" w:rsidRPr="0016721E" w14:paraId="5B48B8EA" w14:textId="77777777" w:rsidTr="0016721E">
        <w:trPr>
          <w:cantSplit/>
        </w:trPr>
        <w:tc>
          <w:tcPr>
            <w:tcW w:w="10414" w:type="dxa"/>
            <w:shd w:val="clear" w:color="auto" w:fill="FFFFFF" w:themeFill="background1"/>
          </w:tcPr>
          <w:p w14:paraId="5B48B8E6" w14:textId="77777777" w:rsidR="00B96343" w:rsidRDefault="0017763C" w:rsidP="00B96343">
            <w:pPr>
              <w:pStyle w:val="GMCNumbertext"/>
              <w:numPr>
                <w:ilvl w:val="1"/>
                <w:numId w:val="23"/>
              </w:numPr>
              <w:tabs>
                <w:tab w:val="left" w:pos="3402"/>
                <w:tab w:val="left" w:pos="5670"/>
              </w:tabs>
              <w:spacing w:before="40" w:after="0" w:line="240" w:lineRule="auto"/>
              <w:jc w:val="both"/>
              <w:rPr>
                <w:rFonts w:ascii="Arial" w:hAnsi="Arial" w:cs="Arial"/>
                <w:sz w:val="18"/>
                <w:szCs w:val="18"/>
              </w:rPr>
            </w:pPr>
            <w:r w:rsidRPr="001667AC">
              <w:rPr>
                <w:rFonts w:ascii="Arial" w:hAnsi="Arial" w:cs="Arial"/>
                <w:sz w:val="18"/>
                <w:szCs w:val="18"/>
              </w:rPr>
              <w:lastRenderedPageBreak/>
              <w:t>Placement providers work with other organisations to mitigate avoidable learner attrition from programmes.</w:t>
            </w:r>
          </w:p>
          <w:p w14:paraId="5B48B8E7" w14:textId="77777777" w:rsidR="00B96343" w:rsidRDefault="0017763C" w:rsidP="00B96343">
            <w:pPr>
              <w:pStyle w:val="GMCNumbertext"/>
              <w:numPr>
                <w:ilvl w:val="1"/>
                <w:numId w:val="23"/>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There are opportunities for learners to receive appropriate careers advice from colleagues within the learning environment, including understanding other roles and career pathway opportunities.</w:t>
            </w:r>
          </w:p>
          <w:p w14:paraId="5B48B8E8" w14:textId="77777777" w:rsidR="00B96343" w:rsidRDefault="001667AC" w:rsidP="00B96343">
            <w:pPr>
              <w:pStyle w:val="GMCNumbertext"/>
              <w:numPr>
                <w:ilvl w:val="1"/>
                <w:numId w:val="23"/>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The organisation engages in local workforce planning to ensure it supports the development of learners who have the skills, knowledge and behaviours to meet the changing needs of patients and service.</w:t>
            </w:r>
          </w:p>
          <w:p w14:paraId="5B48B8E9" w14:textId="77777777" w:rsidR="001667AC" w:rsidRPr="00B96343" w:rsidRDefault="001667AC" w:rsidP="00B96343">
            <w:pPr>
              <w:pStyle w:val="GMCNumbertext"/>
              <w:numPr>
                <w:ilvl w:val="1"/>
                <w:numId w:val="23"/>
              </w:numPr>
              <w:tabs>
                <w:tab w:val="left" w:pos="3402"/>
                <w:tab w:val="left" w:pos="5670"/>
              </w:tabs>
              <w:spacing w:before="40" w:after="0" w:line="240" w:lineRule="auto"/>
              <w:jc w:val="both"/>
              <w:rPr>
                <w:rFonts w:ascii="Arial" w:hAnsi="Arial" w:cs="Arial"/>
                <w:sz w:val="18"/>
                <w:szCs w:val="18"/>
              </w:rPr>
            </w:pPr>
            <w:r w:rsidRPr="00B96343">
              <w:rPr>
                <w:rFonts w:ascii="Arial" w:hAnsi="Arial" w:cs="Arial"/>
                <w:sz w:val="18"/>
                <w:szCs w:val="18"/>
              </w:rPr>
              <w:t>Transition from a healthcare education programme to employment is underpinned by a clear process of support developed and delivered in partnership with the learner.</w:t>
            </w:r>
          </w:p>
        </w:tc>
      </w:tr>
      <w:tr w:rsidR="00B96343" w:rsidRPr="0016721E" w14:paraId="5B48B8EC" w14:textId="77777777" w:rsidTr="0016721E">
        <w:trPr>
          <w:cantSplit/>
        </w:trPr>
        <w:tc>
          <w:tcPr>
            <w:tcW w:w="10414" w:type="dxa"/>
            <w:shd w:val="clear" w:color="auto" w:fill="FFFFFF" w:themeFill="background1"/>
          </w:tcPr>
          <w:p w14:paraId="5B48B8EB" w14:textId="77777777" w:rsidR="00B96343" w:rsidRPr="001667AC" w:rsidRDefault="00B96343" w:rsidP="00B96343">
            <w:pPr>
              <w:pStyle w:val="GMCNumbertext"/>
              <w:numPr>
                <w:ilvl w:val="0"/>
                <w:numId w:val="0"/>
              </w:numPr>
              <w:tabs>
                <w:tab w:val="left" w:pos="3402"/>
                <w:tab w:val="left" w:pos="5670"/>
              </w:tabs>
              <w:spacing w:before="40" w:after="0" w:line="240" w:lineRule="auto"/>
              <w:jc w:val="both"/>
              <w:rPr>
                <w:rFonts w:ascii="Arial" w:hAnsi="Arial" w:cs="Arial"/>
                <w:sz w:val="18"/>
                <w:szCs w:val="18"/>
              </w:rPr>
            </w:pPr>
          </w:p>
        </w:tc>
      </w:tr>
    </w:tbl>
    <w:p w14:paraId="5B48B8ED" w14:textId="77777777" w:rsidR="00CD2EEF" w:rsidRPr="00CD2EEF" w:rsidRDefault="00CD2EEF" w:rsidP="00FF78D4"/>
    <w:p w14:paraId="5B48B8EE" w14:textId="77777777" w:rsidR="00BC644F" w:rsidRDefault="00CD2EEF" w:rsidP="00CD2EEF">
      <w:pPr>
        <w:pStyle w:val="Heading1"/>
        <w:jc w:val="center"/>
      </w:pPr>
      <w:r>
        <w:t>Appendix 2: HEE Risk matrix</w:t>
      </w:r>
    </w:p>
    <w:p w14:paraId="5B48B8EF" w14:textId="77777777" w:rsidR="007653A3" w:rsidRDefault="007653A3" w:rsidP="007653A3"/>
    <w:p w14:paraId="5B48B8F0" w14:textId="77777777" w:rsidR="007653A3" w:rsidRDefault="00660639" w:rsidP="007653A3">
      <w:r>
        <w:rPr>
          <w:noProof/>
          <w:lang w:eastAsia="en-GB"/>
        </w:rPr>
        <w:drawing>
          <wp:inline distT="0" distB="0" distL="0" distR="0" wp14:anchorId="5B48B8F5" wp14:editId="5B48B8F6">
            <wp:extent cx="5943600" cy="1971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971675"/>
                    </a:xfrm>
                    <a:prstGeom prst="rect">
                      <a:avLst/>
                    </a:prstGeom>
                  </pic:spPr>
                </pic:pic>
              </a:graphicData>
            </a:graphic>
          </wp:inline>
        </w:drawing>
      </w:r>
    </w:p>
    <w:p w14:paraId="5B48B8F1" w14:textId="77777777" w:rsidR="007653A3" w:rsidRDefault="007653A3" w:rsidP="007653A3"/>
    <w:p w14:paraId="5B48B8F2" w14:textId="77777777" w:rsidR="007653A3" w:rsidRPr="007653A3" w:rsidRDefault="00660639" w:rsidP="00660639">
      <w:pPr>
        <w:jc w:val="center"/>
      </w:pPr>
      <w:r>
        <w:rPr>
          <w:noProof/>
          <w:lang w:eastAsia="en-GB"/>
        </w:rPr>
        <w:lastRenderedPageBreak/>
        <w:drawing>
          <wp:inline distT="0" distB="0" distL="0" distR="0" wp14:anchorId="5B48B8F7" wp14:editId="5B48B8F8">
            <wp:extent cx="3714229" cy="5304700"/>
            <wp:effectExtent l="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stretch>
                      <a:fillRect/>
                    </a:stretch>
                  </pic:blipFill>
                  <pic:spPr>
                    <a:xfrm>
                      <a:off x="0" y="0"/>
                      <a:ext cx="3714229" cy="5304700"/>
                    </a:xfrm>
                    <a:prstGeom prst="rect">
                      <a:avLst/>
                    </a:prstGeom>
                  </pic:spPr>
                </pic:pic>
              </a:graphicData>
            </a:graphic>
          </wp:inline>
        </w:drawing>
      </w:r>
    </w:p>
    <w:sectPr w:rsidR="007653A3" w:rsidRPr="007653A3" w:rsidSect="00B55B1C">
      <w:type w:val="continuous"/>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4DA4F" w14:textId="77777777" w:rsidR="00F9683D" w:rsidRDefault="00F9683D" w:rsidP="00AC72FD">
      <w:r>
        <w:separator/>
      </w:r>
    </w:p>
  </w:endnote>
  <w:endnote w:type="continuationSeparator" w:id="0">
    <w:p w14:paraId="525328DD" w14:textId="77777777" w:rsidR="00F9683D" w:rsidRDefault="00F9683D" w:rsidP="00AC72FD">
      <w:r>
        <w:continuationSeparator/>
      </w:r>
    </w:p>
  </w:endnote>
  <w:endnote w:type="continuationNotice" w:id="1">
    <w:p w14:paraId="2CEB82DC" w14:textId="77777777" w:rsidR="00F9683D" w:rsidRDefault="00F96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B8FE" w14:textId="77777777" w:rsidR="00C419BE" w:rsidRDefault="00C419BE"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8B8FF" w14:textId="77777777" w:rsidR="00C419BE" w:rsidRDefault="00C419BE"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B900" w14:textId="77777777" w:rsidR="00C419BE" w:rsidRPr="0091039C" w:rsidRDefault="00C419BE"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Pr>
        <w:rStyle w:val="PageNumber"/>
        <w:noProof/>
        <w:color w:val="7F7F7F" w:themeColor="text1" w:themeTint="80"/>
      </w:rPr>
      <w:t>2</w:t>
    </w:r>
    <w:r w:rsidRPr="0091039C">
      <w:rPr>
        <w:rStyle w:val="PageNumber"/>
        <w:color w:val="7F7F7F" w:themeColor="text1" w:themeTint="80"/>
      </w:rPr>
      <w:fldChar w:fldCharType="end"/>
    </w:r>
  </w:p>
  <w:p w14:paraId="5B48B901" w14:textId="77777777" w:rsidR="00C419BE" w:rsidRDefault="00C419BE"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B903" w14:textId="77777777" w:rsidR="00C419BE" w:rsidRDefault="00C419BE">
    <w:pPr>
      <w:pStyle w:val="Footer"/>
    </w:pPr>
    <w:r>
      <w:rPr>
        <w:noProof/>
        <w:lang w:eastAsia="en-GB"/>
      </w:rPr>
      <w:drawing>
        <wp:anchor distT="0" distB="0" distL="114300" distR="114300" simplePos="0" relativeHeight="251658240" behindDoc="0" locked="0" layoutInCell="1" allowOverlap="1" wp14:anchorId="5B48B913" wp14:editId="5B48B914">
          <wp:simplePos x="0" y="0"/>
          <wp:positionH relativeFrom="column">
            <wp:posOffset>-540385</wp:posOffset>
          </wp:positionH>
          <wp:positionV relativeFrom="paragraph">
            <wp:posOffset>-93345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48B904" w14:textId="77777777" w:rsidR="00C419BE" w:rsidRDefault="00C419BE">
    <w:pPr>
      <w:pStyle w:val="Footer"/>
    </w:pPr>
  </w:p>
  <w:p w14:paraId="5B48B905" w14:textId="77777777" w:rsidR="00C419BE" w:rsidRDefault="00C419BE">
    <w:pPr>
      <w:pStyle w:val="Footer"/>
    </w:pPr>
  </w:p>
  <w:p w14:paraId="5B48B906" w14:textId="77777777" w:rsidR="00C419BE" w:rsidRDefault="00C419BE">
    <w:pPr>
      <w:pStyle w:val="Footer"/>
    </w:pPr>
  </w:p>
  <w:p w14:paraId="5B48B907" w14:textId="77777777" w:rsidR="00C419BE" w:rsidRDefault="00C419BE">
    <w:pPr>
      <w:pStyle w:val="Footer"/>
    </w:pPr>
  </w:p>
  <w:p w14:paraId="5B48B908" w14:textId="77777777" w:rsidR="00C419BE" w:rsidRDefault="00C419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B90A" w14:textId="77777777" w:rsidR="00C419BE" w:rsidRDefault="00C419BE"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8B90B" w14:textId="77777777" w:rsidR="00C419BE" w:rsidRDefault="00C419BE"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B90C" w14:textId="77777777" w:rsidR="00C419BE" w:rsidRDefault="00C419BE">
    <w:pPr>
      <w:pStyle w:val="Footer"/>
      <w:jc w:val="center"/>
    </w:pPr>
    <w:r>
      <w:fldChar w:fldCharType="begin"/>
    </w:r>
    <w:r>
      <w:instrText xml:space="preserve"> PAGE   \* MERGEFORMAT </w:instrText>
    </w:r>
    <w:r>
      <w:fldChar w:fldCharType="separate"/>
    </w:r>
    <w:r>
      <w:rPr>
        <w:noProof/>
      </w:rPr>
      <w:t>5</w:t>
    </w:r>
    <w:r>
      <w:rPr>
        <w:noProof/>
      </w:rPr>
      <w:fldChar w:fldCharType="end"/>
    </w:r>
  </w:p>
  <w:p w14:paraId="5B48B90D" w14:textId="77777777" w:rsidR="00C419BE" w:rsidRDefault="00C419BE"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B90F" w14:textId="77777777" w:rsidR="00C419BE" w:rsidRDefault="00C419BE">
    <w:pPr>
      <w:pStyle w:val="Footer"/>
    </w:pPr>
    <w:r>
      <w:t>Version 0.1</w:t>
    </w:r>
  </w:p>
  <w:p w14:paraId="5B48B910" w14:textId="77777777" w:rsidR="00C419BE" w:rsidRDefault="00C41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E0FDC" w14:textId="77777777" w:rsidR="00F9683D" w:rsidRDefault="00F9683D" w:rsidP="00AC72FD">
      <w:r>
        <w:separator/>
      </w:r>
    </w:p>
  </w:footnote>
  <w:footnote w:type="continuationSeparator" w:id="0">
    <w:p w14:paraId="124B20F9" w14:textId="77777777" w:rsidR="00F9683D" w:rsidRDefault="00F9683D" w:rsidP="00AC72FD">
      <w:r>
        <w:continuationSeparator/>
      </w:r>
    </w:p>
  </w:footnote>
  <w:footnote w:type="continuationNotice" w:id="1">
    <w:p w14:paraId="1C94F78F" w14:textId="77777777" w:rsidR="00F9683D" w:rsidRDefault="00F96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72B2" w14:textId="27D32E84" w:rsidR="00C419BE" w:rsidRDefault="00C41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B8FD" w14:textId="6BAC535E" w:rsidR="00C419BE" w:rsidRPr="00CF767E" w:rsidRDefault="00C419BE" w:rsidP="00CF767E">
    <w:pPr>
      <w:pStyle w:val="Header"/>
      <w:jc w:val="right"/>
    </w:pPr>
    <w:r>
      <w:rPr>
        <w:rFonts w:eastAsiaTheme="majorEastAsia" w:cstheme="majorBidi"/>
        <w:b/>
        <w:bCs/>
        <w:color w:val="003893"/>
        <w:sz w:val="28"/>
        <w:szCs w:val="28"/>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B902" w14:textId="5226713E" w:rsidR="00C419BE" w:rsidRDefault="00C419BE">
    <w:pPr>
      <w:pStyle w:val="Header"/>
    </w:pPr>
    <w:r>
      <w:rPr>
        <w:noProof/>
        <w:lang w:eastAsia="en-GB"/>
      </w:rPr>
      <w:drawing>
        <wp:anchor distT="0" distB="0" distL="114300" distR="114300" simplePos="0" relativeHeight="251658241" behindDoc="0" locked="0" layoutInCell="1" allowOverlap="0" wp14:anchorId="5B48B911" wp14:editId="5B48B912">
          <wp:simplePos x="0" y="0"/>
          <wp:positionH relativeFrom="page">
            <wp:posOffset>4360545</wp:posOffset>
          </wp:positionH>
          <wp:positionV relativeFrom="page">
            <wp:posOffset>314325</wp:posOffset>
          </wp:positionV>
          <wp:extent cx="2788920" cy="652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D9F78" w14:textId="2A30F2CA" w:rsidR="00C419BE" w:rsidRDefault="00C419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B909" w14:textId="32DEEE79" w:rsidR="00C419BE" w:rsidRPr="00AC72FD" w:rsidRDefault="00C419BE" w:rsidP="002D6889">
    <w:pPr>
      <w:pStyle w:val="Heading2"/>
      <w:spacing w:after="400"/>
      <w:jc w:val="right"/>
    </w:pPr>
    <w:r>
      <w:t>Quality review outcome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B90E" w14:textId="4D07400C" w:rsidR="00C419BE" w:rsidRDefault="00C419BE">
    <w:pPr>
      <w:pStyle w:val="Header"/>
    </w:pPr>
    <w:r>
      <w:rPr>
        <w:noProof/>
        <w:lang w:eastAsia="en-GB"/>
      </w:rPr>
      <w:drawing>
        <wp:anchor distT="0" distB="0" distL="114300" distR="114300" simplePos="0" relativeHeight="251658242" behindDoc="0" locked="0" layoutInCell="1" allowOverlap="0" wp14:anchorId="5B48B915" wp14:editId="5B48B916">
          <wp:simplePos x="0" y="0"/>
          <wp:positionH relativeFrom="page">
            <wp:posOffset>4360545</wp:posOffset>
          </wp:positionH>
          <wp:positionV relativeFrom="page">
            <wp:posOffset>314325</wp:posOffset>
          </wp:positionV>
          <wp:extent cx="2788920" cy="652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5607704"/>
    <w:lvl w:ilvl="0">
      <w:start w:val="1"/>
      <w:numFmt w:val="decimal"/>
      <w:pStyle w:val="ListNumber"/>
      <w:lvlText w:val="%1."/>
      <w:lvlJc w:val="left"/>
      <w:pPr>
        <w:tabs>
          <w:tab w:val="num" w:pos="360"/>
        </w:tabs>
        <w:ind w:left="360" w:hanging="360"/>
      </w:pPr>
    </w:lvl>
  </w:abstractNum>
  <w:abstractNum w:abstractNumId="1" w15:restartNumberingAfterBreak="0">
    <w:nsid w:val="03E50CD6"/>
    <w:multiLevelType w:val="multilevel"/>
    <w:tmpl w:val="5FAEF6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64230"/>
    <w:multiLevelType w:val="hybridMultilevel"/>
    <w:tmpl w:val="1D12A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54CF5"/>
    <w:multiLevelType w:val="multilevel"/>
    <w:tmpl w:val="4E42C1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020F4"/>
    <w:multiLevelType w:val="hybridMultilevel"/>
    <w:tmpl w:val="44FE2B0E"/>
    <w:lvl w:ilvl="0" w:tplc="5D2488F2">
      <w:start w:val="2"/>
      <w:numFmt w:val="decimal"/>
      <w:pStyle w:val="ListParagraph"/>
      <w:lvlText w:val="%1.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5667F5"/>
    <w:multiLevelType w:val="multilevel"/>
    <w:tmpl w:val="4E42C1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82B0A"/>
    <w:multiLevelType w:val="multilevel"/>
    <w:tmpl w:val="B246D7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175540"/>
    <w:multiLevelType w:val="multilevel"/>
    <w:tmpl w:val="94EEDCA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1F547D"/>
    <w:multiLevelType w:val="hybridMultilevel"/>
    <w:tmpl w:val="F2900A32"/>
    <w:lvl w:ilvl="0" w:tplc="3F029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01D63"/>
    <w:multiLevelType w:val="multilevel"/>
    <w:tmpl w:val="A89A9D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C912F0"/>
    <w:multiLevelType w:val="hybridMultilevel"/>
    <w:tmpl w:val="4C36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17060"/>
    <w:multiLevelType w:val="hybridMultilevel"/>
    <w:tmpl w:val="F516D17E"/>
    <w:lvl w:ilvl="0" w:tplc="8EF4896A">
      <w:start w:val="2"/>
      <w:numFmt w:val="decimal"/>
      <w:lvlText w:val="%1."/>
      <w:lvlJc w:val="left"/>
      <w:pPr>
        <w:ind w:left="360" w:hanging="36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B1500F"/>
    <w:multiLevelType w:val="multilevel"/>
    <w:tmpl w:val="31B207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2914B7"/>
    <w:multiLevelType w:val="hybridMultilevel"/>
    <w:tmpl w:val="8256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F0D58"/>
    <w:multiLevelType w:val="multilevel"/>
    <w:tmpl w:val="A89A9D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426357"/>
    <w:multiLevelType w:val="multilevel"/>
    <w:tmpl w:val="9EAC9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956EB1"/>
    <w:multiLevelType w:val="hybridMultilevel"/>
    <w:tmpl w:val="2A2AEC30"/>
    <w:lvl w:ilvl="0" w:tplc="223EE9A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95249"/>
    <w:multiLevelType w:val="hybridMultilevel"/>
    <w:tmpl w:val="F7BC8EFC"/>
    <w:lvl w:ilvl="0" w:tplc="2CD691B2">
      <w:start w:val="2"/>
      <w:numFmt w:val="decimal"/>
      <w:lvlText w:val="%1.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8A493E"/>
    <w:multiLevelType w:val="hybridMultilevel"/>
    <w:tmpl w:val="1D12A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73EB4"/>
    <w:multiLevelType w:val="multilevel"/>
    <w:tmpl w:val="31B207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08421B"/>
    <w:multiLevelType w:val="multilevel"/>
    <w:tmpl w:val="09BA5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9457F3"/>
    <w:multiLevelType w:val="hybridMultilevel"/>
    <w:tmpl w:val="A5204F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7F582C"/>
    <w:multiLevelType w:val="multilevel"/>
    <w:tmpl w:val="8BF8196A"/>
    <w:lvl w:ilvl="0">
      <w:start w:val="1"/>
      <w:numFmt w:val="decimal"/>
      <w:pStyle w:val="GMCNumbertext"/>
      <w:lvlText w:val="%1"/>
      <w:lvlJc w:val="left"/>
      <w:pPr>
        <w:tabs>
          <w:tab w:val="num" w:pos="510"/>
        </w:tabs>
        <w:ind w:left="510" w:hanging="510"/>
      </w:pPr>
      <w:rPr>
        <w:rFonts w:ascii="Tahoma" w:hAnsi="Tahoma" w:hint="default"/>
        <w:b/>
        <w:i w:val="0"/>
        <w:sz w:val="24"/>
      </w:rPr>
    </w:lvl>
    <w:lvl w:ilvl="1">
      <w:start w:val="1"/>
      <w:numFmt w:val="decimal"/>
      <w:lvlText w:val="%1.%2"/>
      <w:lvlJc w:val="left"/>
      <w:pPr>
        <w:tabs>
          <w:tab w:val="num" w:pos="792"/>
        </w:tabs>
        <w:ind w:left="792" w:hanging="432"/>
      </w:pPr>
      <w:rPr>
        <w:rFonts w:ascii="Tahoma" w:hAnsi="Tahoma" w:hint="default"/>
        <w:b/>
        <w:i w:val="0"/>
        <w:sz w:val="24"/>
      </w:rPr>
    </w:lvl>
    <w:lvl w:ilvl="2">
      <w:start w:val="1"/>
      <w:numFmt w:val="decimal"/>
      <w:lvlText w:val="%1.%2.%3"/>
      <w:lvlJc w:val="left"/>
      <w:pPr>
        <w:tabs>
          <w:tab w:val="num" w:pos="1440"/>
        </w:tabs>
        <w:ind w:left="1224" w:hanging="504"/>
      </w:pPr>
      <w:rPr>
        <w:rFonts w:ascii="Tahoma" w:hAnsi="Tahoma" w:hint="default"/>
        <w:b/>
        <w:i w:val="0"/>
        <w:sz w:val="24"/>
      </w:rPr>
    </w:lvl>
    <w:lvl w:ilvl="3">
      <w:start w:val="1"/>
      <w:numFmt w:val="decimal"/>
      <w:lvlText w:val="%1.%2.%3.%4"/>
      <w:lvlJc w:val="left"/>
      <w:pPr>
        <w:tabs>
          <w:tab w:val="num" w:pos="2520"/>
        </w:tabs>
        <w:ind w:left="1728" w:hanging="648"/>
      </w:pPr>
      <w:rPr>
        <w:rFonts w:ascii="Tahoma" w:hAnsi="Tahoma" w:hint="default"/>
        <w:b/>
        <w:i w:val="0"/>
        <w:sz w:val="24"/>
      </w:rPr>
    </w:lvl>
    <w:lvl w:ilvl="4">
      <w:start w:val="1"/>
      <w:numFmt w:val="decimal"/>
      <w:lvlText w:val="%1.%2.%3.%4.%5"/>
      <w:lvlJc w:val="left"/>
      <w:pPr>
        <w:tabs>
          <w:tab w:val="num" w:pos="3240"/>
        </w:tabs>
        <w:ind w:left="2232" w:hanging="792"/>
      </w:pPr>
      <w:rPr>
        <w:rFonts w:ascii="Tahoma" w:hAnsi="Tahoma" w:hint="default"/>
        <w:b/>
        <w:i w:val="0"/>
        <w:sz w:val="24"/>
      </w:rPr>
    </w:lvl>
    <w:lvl w:ilvl="5">
      <w:start w:val="1"/>
      <w:numFmt w:val="decimal"/>
      <w:lvlText w:val="%1.%2.%3.%4.%5.%6"/>
      <w:lvlJc w:val="left"/>
      <w:pPr>
        <w:tabs>
          <w:tab w:val="num" w:pos="3960"/>
        </w:tabs>
        <w:ind w:left="2736" w:hanging="936"/>
      </w:pPr>
      <w:rPr>
        <w:rFonts w:ascii="Tahoma" w:hAnsi="Tahoma" w:hint="default"/>
        <w:b/>
        <w:i w:val="0"/>
        <w:sz w:val="24"/>
      </w:rPr>
    </w:lvl>
    <w:lvl w:ilvl="6">
      <w:start w:val="1"/>
      <w:numFmt w:val="decimal"/>
      <w:lvlText w:val="%1.%2.%3.%4.%5.%6.%7"/>
      <w:lvlJc w:val="left"/>
      <w:pPr>
        <w:tabs>
          <w:tab w:val="num" w:pos="4680"/>
        </w:tabs>
        <w:ind w:left="3240" w:hanging="1080"/>
      </w:pPr>
      <w:rPr>
        <w:rFonts w:ascii="Tahoma" w:hAnsi="Tahoma" w:hint="default"/>
        <w:b/>
        <w:i w:val="0"/>
        <w:sz w:val="24"/>
      </w:rPr>
    </w:lvl>
    <w:lvl w:ilvl="7">
      <w:start w:val="1"/>
      <w:numFmt w:val="decimal"/>
      <w:lvlText w:val="%1.%2.%3.%4.%5.%6.%7.%8"/>
      <w:lvlJc w:val="left"/>
      <w:pPr>
        <w:tabs>
          <w:tab w:val="num" w:pos="5400"/>
        </w:tabs>
        <w:ind w:left="3744" w:hanging="1224"/>
      </w:pPr>
      <w:rPr>
        <w:rFonts w:ascii="Tahoma" w:hAnsi="Tahoma" w:hint="default"/>
        <w:b/>
        <w:i w:val="0"/>
        <w:sz w:val="24"/>
      </w:rPr>
    </w:lvl>
    <w:lvl w:ilvl="8">
      <w:start w:val="1"/>
      <w:numFmt w:val="decimal"/>
      <w:lvlText w:val="%1.%2.%3.%4.%5.%6.%7.%8.%9"/>
      <w:lvlJc w:val="left"/>
      <w:pPr>
        <w:tabs>
          <w:tab w:val="num" w:pos="6120"/>
        </w:tabs>
        <w:ind w:left="4320" w:hanging="1440"/>
      </w:pPr>
      <w:rPr>
        <w:rFonts w:ascii="Tahoma" w:hAnsi="Tahoma" w:hint="default"/>
        <w:b/>
        <w:i w:val="0"/>
        <w:sz w:val="24"/>
      </w:rPr>
    </w:lvl>
  </w:abstractNum>
  <w:abstractNum w:abstractNumId="23" w15:restartNumberingAfterBreak="0">
    <w:nsid w:val="4D002E1D"/>
    <w:multiLevelType w:val="hybridMultilevel"/>
    <w:tmpl w:val="EE8AAA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560D71"/>
    <w:multiLevelType w:val="hybridMultilevel"/>
    <w:tmpl w:val="1D12A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C235E"/>
    <w:multiLevelType w:val="hybridMultilevel"/>
    <w:tmpl w:val="1D12A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2037AA"/>
    <w:multiLevelType w:val="hybridMultilevel"/>
    <w:tmpl w:val="7994864E"/>
    <w:lvl w:ilvl="0" w:tplc="5D2488F2">
      <w:start w:val="2"/>
      <w:numFmt w:val="decimal"/>
      <w:lvlText w:val="%1.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941BC9"/>
    <w:multiLevelType w:val="hybridMultilevel"/>
    <w:tmpl w:val="57CC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00389"/>
    <w:multiLevelType w:val="multilevel"/>
    <w:tmpl w:val="A89A9D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0EA1509"/>
    <w:multiLevelType w:val="multilevel"/>
    <w:tmpl w:val="5FAEF6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F22C09"/>
    <w:multiLevelType w:val="hybridMultilevel"/>
    <w:tmpl w:val="4774BE30"/>
    <w:lvl w:ilvl="0" w:tplc="83EC6592">
      <w:start w:val="2"/>
      <w:numFmt w:val="decimal"/>
      <w:lvlText w:val="%1.1"/>
      <w:lvlJc w:val="left"/>
      <w:pPr>
        <w:ind w:left="36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10E1D"/>
    <w:multiLevelType w:val="hybridMultilevel"/>
    <w:tmpl w:val="46FE0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0"/>
  </w:num>
  <w:num w:numId="4">
    <w:abstractNumId w:val="8"/>
  </w:num>
  <w:num w:numId="5">
    <w:abstractNumId w:val="23"/>
  </w:num>
  <w:num w:numId="6">
    <w:abstractNumId w:val="7"/>
  </w:num>
  <w:num w:numId="7">
    <w:abstractNumId w:val="11"/>
  </w:num>
  <w:num w:numId="8">
    <w:abstractNumId w:val="26"/>
  </w:num>
  <w:num w:numId="9">
    <w:abstractNumId w:val="30"/>
  </w:num>
  <w:num w:numId="10">
    <w:abstractNumId w:val="26"/>
    <w:lvlOverride w:ilvl="0">
      <w:startOverride w:val="2"/>
    </w:lvlOverride>
  </w:num>
  <w:num w:numId="11">
    <w:abstractNumId w:val="17"/>
  </w:num>
  <w:num w:numId="12">
    <w:abstractNumId w:val="26"/>
    <w:lvlOverride w:ilvl="0">
      <w:startOverride w:val="2"/>
    </w:lvlOverride>
  </w:num>
  <w:num w:numId="13">
    <w:abstractNumId w:val="4"/>
  </w:num>
  <w:num w:numId="14">
    <w:abstractNumId w:val="12"/>
  </w:num>
  <w:num w:numId="15">
    <w:abstractNumId w:val="19"/>
  </w:num>
  <w:num w:numId="16">
    <w:abstractNumId w:val="29"/>
  </w:num>
  <w:num w:numId="17">
    <w:abstractNumId w:val="1"/>
  </w:num>
  <w:num w:numId="18">
    <w:abstractNumId w:val="6"/>
  </w:num>
  <w:num w:numId="19">
    <w:abstractNumId w:val="3"/>
  </w:num>
  <w:num w:numId="20">
    <w:abstractNumId w:val="5"/>
  </w:num>
  <w:num w:numId="21">
    <w:abstractNumId w:val="28"/>
  </w:num>
  <w:num w:numId="22">
    <w:abstractNumId w:val="9"/>
  </w:num>
  <w:num w:numId="23">
    <w:abstractNumId w:val="14"/>
  </w:num>
  <w:num w:numId="24">
    <w:abstractNumId w:val="27"/>
  </w:num>
  <w:num w:numId="25">
    <w:abstractNumId w:val="25"/>
  </w:num>
  <w:num w:numId="26">
    <w:abstractNumId w:val="2"/>
  </w:num>
  <w:num w:numId="27">
    <w:abstractNumId w:val="18"/>
  </w:num>
  <w:num w:numId="28">
    <w:abstractNumId w:val="24"/>
  </w:num>
  <w:num w:numId="29">
    <w:abstractNumId w:val="10"/>
  </w:num>
  <w:num w:numId="30">
    <w:abstractNumId w:val="21"/>
  </w:num>
  <w:num w:numId="31">
    <w:abstractNumId w:val="31"/>
  </w:num>
  <w:num w:numId="32">
    <w:abstractNumId w:val="13"/>
  </w:num>
  <w:num w:numId="33">
    <w:abstractNumId w:val="16"/>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C8"/>
    <w:rsid w:val="00003D65"/>
    <w:rsid w:val="00006AF4"/>
    <w:rsid w:val="0001031C"/>
    <w:rsid w:val="000126FF"/>
    <w:rsid w:val="000150D8"/>
    <w:rsid w:val="000200B5"/>
    <w:rsid w:val="00020783"/>
    <w:rsid w:val="00026AF1"/>
    <w:rsid w:val="00030EFC"/>
    <w:rsid w:val="00042671"/>
    <w:rsid w:val="00044360"/>
    <w:rsid w:val="00060A0A"/>
    <w:rsid w:val="00061054"/>
    <w:rsid w:val="000659C5"/>
    <w:rsid w:val="00066DD2"/>
    <w:rsid w:val="000670EB"/>
    <w:rsid w:val="00071846"/>
    <w:rsid w:val="000730DE"/>
    <w:rsid w:val="00084BA4"/>
    <w:rsid w:val="00085652"/>
    <w:rsid w:val="0008795E"/>
    <w:rsid w:val="000931D6"/>
    <w:rsid w:val="00093793"/>
    <w:rsid w:val="00094057"/>
    <w:rsid w:val="000A1133"/>
    <w:rsid w:val="000A1DD3"/>
    <w:rsid w:val="000B05B3"/>
    <w:rsid w:val="000B26B4"/>
    <w:rsid w:val="000B3AFB"/>
    <w:rsid w:val="000C0A9A"/>
    <w:rsid w:val="000C585B"/>
    <w:rsid w:val="000C5978"/>
    <w:rsid w:val="000C5B14"/>
    <w:rsid w:val="000C6704"/>
    <w:rsid w:val="000D0CD7"/>
    <w:rsid w:val="000D234A"/>
    <w:rsid w:val="000D503A"/>
    <w:rsid w:val="000E190B"/>
    <w:rsid w:val="000E2C14"/>
    <w:rsid w:val="000E741E"/>
    <w:rsid w:val="000E755C"/>
    <w:rsid w:val="000F5F5B"/>
    <w:rsid w:val="00103A13"/>
    <w:rsid w:val="00106A4E"/>
    <w:rsid w:val="001103C5"/>
    <w:rsid w:val="00111EBF"/>
    <w:rsid w:val="001150C0"/>
    <w:rsid w:val="00115BC8"/>
    <w:rsid w:val="001227E7"/>
    <w:rsid w:val="0012452F"/>
    <w:rsid w:val="00131415"/>
    <w:rsid w:val="0013332D"/>
    <w:rsid w:val="001333DE"/>
    <w:rsid w:val="001333F0"/>
    <w:rsid w:val="00135D00"/>
    <w:rsid w:val="00143814"/>
    <w:rsid w:val="00155CEB"/>
    <w:rsid w:val="0015770E"/>
    <w:rsid w:val="001612EC"/>
    <w:rsid w:val="001624CD"/>
    <w:rsid w:val="001639CC"/>
    <w:rsid w:val="001667AC"/>
    <w:rsid w:val="0016721E"/>
    <w:rsid w:val="00175BB2"/>
    <w:rsid w:val="0017763C"/>
    <w:rsid w:val="00182169"/>
    <w:rsid w:val="00184133"/>
    <w:rsid w:val="0018562D"/>
    <w:rsid w:val="00195D50"/>
    <w:rsid w:val="00196818"/>
    <w:rsid w:val="001A00E2"/>
    <w:rsid w:val="001A0157"/>
    <w:rsid w:val="001A0632"/>
    <w:rsid w:val="001A4FD8"/>
    <w:rsid w:val="001A5CFC"/>
    <w:rsid w:val="001B2A50"/>
    <w:rsid w:val="001B6A13"/>
    <w:rsid w:val="001C0774"/>
    <w:rsid w:val="001C57A0"/>
    <w:rsid w:val="001D4F3A"/>
    <w:rsid w:val="001D5A70"/>
    <w:rsid w:val="001E4C1B"/>
    <w:rsid w:val="001E769A"/>
    <w:rsid w:val="001F1976"/>
    <w:rsid w:val="002005DF"/>
    <w:rsid w:val="00200CCB"/>
    <w:rsid w:val="00201FC3"/>
    <w:rsid w:val="00203AE6"/>
    <w:rsid w:val="00205409"/>
    <w:rsid w:val="00210530"/>
    <w:rsid w:val="002106D9"/>
    <w:rsid w:val="00211887"/>
    <w:rsid w:val="002204C0"/>
    <w:rsid w:val="00226086"/>
    <w:rsid w:val="00241719"/>
    <w:rsid w:val="002442AC"/>
    <w:rsid w:val="00245CB2"/>
    <w:rsid w:val="0025038D"/>
    <w:rsid w:val="002612B3"/>
    <w:rsid w:val="00265200"/>
    <w:rsid w:val="00271336"/>
    <w:rsid w:val="00273F8D"/>
    <w:rsid w:val="0028438D"/>
    <w:rsid w:val="002938BB"/>
    <w:rsid w:val="0029423A"/>
    <w:rsid w:val="002A3DE1"/>
    <w:rsid w:val="002B2527"/>
    <w:rsid w:val="002B5AD3"/>
    <w:rsid w:val="002C0C87"/>
    <w:rsid w:val="002C3DF4"/>
    <w:rsid w:val="002C40E3"/>
    <w:rsid w:val="002D228E"/>
    <w:rsid w:val="002D6889"/>
    <w:rsid w:val="002E4372"/>
    <w:rsid w:val="002E49BA"/>
    <w:rsid w:val="002E52A9"/>
    <w:rsid w:val="002F0E1F"/>
    <w:rsid w:val="002F1501"/>
    <w:rsid w:val="002F48CA"/>
    <w:rsid w:val="0031122D"/>
    <w:rsid w:val="003119E1"/>
    <w:rsid w:val="00314F03"/>
    <w:rsid w:val="003201EF"/>
    <w:rsid w:val="00321C4A"/>
    <w:rsid w:val="00324E86"/>
    <w:rsid w:val="003340DC"/>
    <w:rsid w:val="003361F4"/>
    <w:rsid w:val="003374F5"/>
    <w:rsid w:val="00337BC3"/>
    <w:rsid w:val="003478BE"/>
    <w:rsid w:val="00353174"/>
    <w:rsid w:val="00353D34"/>
    <w:rsid w:val="003632B7"/>
    <w:rsid w:val="003636AF"/>
    <w:rsid w:val="00363F62"/>
    <w:rsid w:val="003652E1"/>
    <w:rsid w:val="00374982"/>
    <w:rsid w:val="00380C11"/>
    <w:rsid w:val="003A2574"/>
    <w:rsid w:val="003A352B"/>
    <w:rsid w:val="003A4C59"/>
    <w:rsid w:val="003A6BCC"/>
    <w:rsid w:val="003A70BA"/>
    <w:rsid w:val="003A71FC"/>
    <w:rsid w:val="003B3ACD"/>
    <w:rsid w:val="003B5DB0"/>
    <w:rsid w:val="003B60F6"/>
    <w:rsid w:val="003C034E"/>
    <w:rsid w:val="003C337B"/>
    <w:rsid w:val="003C541C"/>
    <w:rsid w:val="003C5F5A"/>
    <w:rsid w:val="003C7ECD"/>
    <w:rsid w:val="003D3306"/>
    <w:rsid w:val="003D58B8"/>
    <w:rsid w:val="003E1757"/>
    <w:rsid w:val="003E32FD"/>
    <w:rsid w:val="003E4FC8"/>
    <w:rsid w:val="003F0473"/>
    <w:rsid w:val="003F38D8"/>
    <w:rsid w:val="00400D6E"/>
    <w:rsid w:val="00404C4A"/>
    <w:rsid w:val="004058CF"/>
    <w:rsid w:val="0040683D"/>
    <w:rsid w:val="00413208"/>
    <w:rsid w:val="0042042E"/>
    <w:rsid w:val="004216EC"/>
    <w:rsid w:val="00425431"/>
    <w:rsid w:val="004259A6"/>
    <w:rsid w:val="004278AE"/>
    <w:rsid w:val="00431425"/>
    <w:rsid w:val="00431785"/>
    <w:rsid w:val="004323F6"/>
    <w:rsid w:val="00445800"/>
    <w:rsid w:val="00451B22"/>
    <w:rsid w:val="00456B34"/>
    <w:rsid w:val="0046151C"/>
    <w:rsid w:val="0046330D"/>
    <w:rsid w:val="004657F4"/>
    <w:rsid w:val="00465B2A"/>
    <w:rsid w:val="00465F0B"/>
    <w:rsid w:val="00467C21"/>
    <w:rsid w:val="00470AF7"/>
    <w:rsid w:val="004777E7"/>
    <w:rsid w:val="00483E38"/>
    <w:rsid w:val="00485CC5"/>
    <w:rsid w:val="0048785E"/>
    <w:rsid w:val="0049274C"/>
    <w:rsid w:val="004A1A10"/>
    <w:rsid w:val="004A2EF3"/>
    <w:rsid w:val="004A4EE1"/>
    <w:rsid w:val="004A777F"/>
    <w:rsid w:val="004B2B2E"/>
    <w:rsid w:val="004B737E"/>
    <w:rsid w:val="004B774A"/>
    <w:rsid w:val="004B7EB9"/>
    <w:rsid w:val="004C00D6"/>
    <w:rsid w:val="004D1F7E"/>
    <w:rsid w:val="004D720B"/>
    <w:rsid w:val="004D73B2"/>
    <w:rsid w:val="004E1A31"/>
    <w:rsid w:val="004E3D1B"/>
    <w:rsid w:val="004E5869"/>
    <w:rsid w:val="004E6123"/>
    <w:rsid w:val="004F107D"/>
    <w:rsid w:val="004F219D"/>
    <w:rsid w:val="004F4BDB"/>
    <w:rsid w:val="004F6080"/>
    <w:rsid w:val="00506045"/>
    <w:rsid w:val="00516740"/>
    <w:rsid w:val="00520124"/>
    <w:rsid w:val="00520A6F"/>
    <w:rsid w:val="00521779"/>
    <w:rsid w:val="005241B5"/>
    <w:rsid w:val="00532011"/>
    <w:rsid w:val="00541509"/>
    <w:rsid w:val="005422BE"/>
    <w:rsid w:val="00542FFB"/>
    <w:rsid w:val="00545263"/>
    <w:rsid w:val="00545979"/>
    <w:rsid w:val="00545CEC"/>
    <w:rsid w:val="00546060"/>
    <w:rsid w:val="005460B2"/>
    <w:rsid w:val="0055682A"/>
    <w:rsid w:val="00563C25"/>
    <w:rsid w:val="00564DE3"/>
    <w:rsid w:val="005661E4"/>
    <w:rsid w:val="005664C1"/>
    <w:rsid w:val="00566FA8"/>
    <w:rsid w:val="005735B6"/>
    <w:rsid w:val="00580A36"/>
    <w:rsid w:val="00581C1B"/>
    <w:rsid w:val="005865A9"/>
    <w:rsid w:val="005874B7"/>
    <w:rsid w:val="00587798"/>
    <w:rsid w:val="00595C22"/>
    <w:rsid w:val="00597ED8"/>
    <w:rsid w:val="005A1488"/>
    <w:rsid w:val="005A2E3B"/>
    <w:rsid w:val="005A39AE"/>
    <w:rsid w:val="005A4970"/>
    <w:rsid w:val="005A50A0"/>
    <w:rsid w:val="005A62C5"/>
    <w:rsid w:val="005A6B1A"/>
    <w:rsid w:val="005B3FA7"/>
    <w:rsid w:val="005B4E93"/>
    <w:rsid w:val="005B52DE"/>
    <w:rsid w:val="005C5436"/>
    <w:rsid w:val="005D245D"/>
    <w:rsid w:val="005D657D"/>
    <w:rsid w:val="005E236B"/>
    <w:rsid w:val="005E26A7"/>
    <w:rsid w:val="005E69A1"/>
    <w:rsid w:val="005E6FCC"/>
    <w:rsid w:val="005F275D"/>
    <w:rsid w:val="005F2B9C"/>
    <w:rsid w:val="005F407D"/>
    <w:rsid w:val="005F5B2D"/>
    <w:rsid w:val="005F6073"/>
    <w:rsid w:val="005F6B53"/>
    <w:rsid w:val="00603180"/>
    <w:rsid w:val="00615FF4"/>
    <w:rsid w:val="00625F98"/>
    <w:rsid w:val="00635724"/>
    <w:rsid w:val="00651629"/>
    <w:rsid w:val="006516EB"/>
    <w:rsid w:val="00652BCD"/>
    <w:rsid w:val="00653CD3"/>
    <w:rsid w:val="00657D9B"/>
    <w:rsid w:val="00660639"/>
    <w:rsid w:val="00666B90"/>
    <w:rsid w:val="00667F17"/>
    <w:rsid w:val="00667FE6"/>
    <w:rsid w:val="00683C14"/>
    <w:rsid w:val="00686821"/>
    <w:rsid w:val="0069333A"/>
    <w:rsid w:val="006A194E"/>
    <w:rsid w:val="006A1F2F"/>
    <w:rsid w:val="006B22D1"/>
    <w:rsid w:val="006B41E5"/>
    <w:rsid w:val="006D4858"/>
    <w:rsid w:val="006D551D"/>
    <w:rsid w:val="006D6407"/>
    <w:rsid w:val="006E1A66"/>
    <w:rsid w:val="006E2B29"/>
    <w:rsid w:val="006F0200"/>
    <w:rsid w:val="006F03F4"/>
    <w:rsid w:val="006F1D4C"/>
    <w:rsid w:val="006F722E"/>
    <w:rsid w:val="00700BDC"/>
    <w:rsid w:val="00710331"/>
    <w:rsid w:val="00710F03"/>
    <w:rsid w:val="00711523"/>
    <w:rsid w:val="00711BAC"/>
    <w:rsid w:val="007333C6"/>
    <w:rsid w:val="00733752"/>
    <w:rsid w:val="00736BF8"/>
    <w:rsid w:val="00737924"/>
    <w:rsid w:val="00737F04"/>
    <w:rsid w:val="007406B2"/>
    <w:rsid w:val="00741AF4"/>
    <w:rsid w:val="00742DC3"/>
    <w:rsid w:val="0075203E"/>
    <w:rsid w:val="00752428"/>
    <w:rsid w:val="00752E85"/>
    <w:rsid w:val="007538BF"/>
    <w:rsid w:val="0075550C"/>
    <w:rsid w:val="007629C0"/>
    <w:rsid w:val="007631EE"/>
    <w:rsid w:val="007653A3"/>
    <w:rsid w:val="00766E2E"/>
    <w:rsid w:val="007739DD"/>
    <w:rsid w:val="007746B7"/>
    <w:rsid w:val="00774DED"/>
    <w:rsid w:val="00776013"/>
    <w:rsid w:val="00776742"/>
    <w:rsid w:val="00784FC1"/>
    <w:rsid w:val="00785EF2"/>
    <w:rsid w:val="00786370"/>
    <w:rsid w:val="007867B0"/>
    <w:rsid w:val="007867ED"/>
    <w:rsid w:val="00797DC1"/>
    <w:rsid w:val="007A08CF"/>
    <w:rsid w:val="007A274F"/>
    <w:rsid w:val="007A7BE6"/>
    <w:rsid w:val="007B265C"/>
    <w:rsid w:val="007C6119"/>
    <w:rsid w:val="007C6A67"/>
    <w:rsid w:val="007D41CD"/>
    <w:rsid w:val="007E066C"/>
    <w:rsid w:val="007E1C67"/>
    <w:rsid w:val="007F0E4D"/>
    <w:rsid w:val="007F1260"/>
    <w:rsid w:val="007F2CB8"/>
    <w:rsid w:val="007F7652"/>
    <w:rsid w:val="007F7CEA"/>
    <w:rsid w:val="007F7D7D"/>
    <w:rsid w:val="00804651"/>
    <w:rsid w:val="008075FD"/>
    <w:rsid w:val="008101DE"/>
    <w:rsid w:val="00812BDA"/>
    <w:rsid w:val="008210CF"/>
    <w:rsid w:val="008228F6"/>
    <w:rsid w:val="00822F53"/>
    <w:rsid w:val="00825AE3"/>
    <w:rsid w:val="00827F6C"/>
    <w:rsid w:val="00832AE4"/>
    <w:rsid w:val="00832B88"/>
    <w:rsid w:val="00832F64"/>
    <w:rsid w:val="008333C1"/>
    <w:rsid w:val="0084508F"/>
    <w:rsid w:val="00852F59"/>
    <w:rsid w:val="00853F0B"/>
    <w:rsid w:val="008571DD"/>
    <w:rsid w:val="00861BA3"/>
    <w:rsid w:val="00861C74"/>
    <w:rsid w:val="00864643"/>
    <w:rsid w:val="00866A35"/>
    <w:rsid w:val="00870764"/>
    <w:rsid w:val="0087491A"/>
    <w:rsid w:val="00880ABA"/>
    <w:rsid w:val="0089418E"/>
    <w:rsid w:val="008971EF"/>
    <w:rsid w:val="008A3CF5"/>
    <w:rsid w:val="008B1C18"/>
    <w:rsid w:val="008B4836"/>
    <w:rsid w:val="008C14C5"/>
    <w:rsid w:val="008D38B3"/>
    <w:rsid w:val="008D55E0"/>
    <w:rsid w:val="008D59B4"/>
    <w:rsid w:val="008E4BB2"/>
    <w:rsid w:val="008E7D52"/>
    <w:rsid w:val="008F5925"/>
    <w:rsid w:val="008F6B4A"/>
    <w:rsid w:val="008F73EF"/>
    <w:rsid w:val="0090024D"/>
    <w:rsid w:val="00906015"/>
    <w:rsid w:val="0091039C"/>
    <w:rsid w:val="00911914"/>
    <w:rsid w:val="0091201F"/>
    <w:rsid w:val="00912945"/>
    <w:rsid w:val="00915133"/>
    <w:rsid w:val="00915CE9"/>
    <w:rsid w:val="009163EC"/>
    <w:rsid w:val="009177DC"/>
    <w:rsid w:val="00923668"/>
    <w:rsid w:val="00934D4D"/>
    <w:rsid w:val="00934DC5"/>
    <w:rsid w:val="00937ED9"/>
    <w:rsid w:val="00941DC5"/>
    <w:rsid w:val="00945EF6"/>
    <w:rsid w:val="009506F4"/>
    <w:rsid w:val="00954D0C"/>
    <w:rsid w:val="00962C59"/>
    <w:rsid w:val="00962EC3"/>
    <w:rsid w:val="00963271"/>
    <w:rsid w:val="00966CAB"/>
    <w:rsid w:val="00970B6B"/>
    <w:rsid w:val="00976BAE"/>
    <w:rsid w:val="00982D8E"/>
    <w:rsid w:val="00983898"/>
    <w:rsid w:val="00984920"/>
    <w:rsid w:val="00986738"/>
    <w:rsid w:val="00991FA6"/>
    <w:rsid w:val="00997824"/>
    <w:rsid w:val="009A18F4"/>
    <w:rsid w:val="009A25FC"/>
    <w:rsid w:val="009A33A2"/>
    <w:rsid w:val="009A4849"/>
    <w:rsid w:val="009A61A1"/>
    <w:rsid w:val="009C2900"/>
    <w:rsid w:val="009C57D7"/>
    <w:rsid w:val="009C6F93"/>
    <w:rsid w:val="009D04F9"/>
    <w:rsid w:val="009D07E1"/>
    <w:rsid w:val="009D118E"/>
    <w:rsid w:val="009D32F5"/>
    <w:rsid w:val="009D4F2B"/>
    <w:rsid w:val="009D5141"/>
    <w:rsid w:val="009E12D9"/>
    <w:rsid w:val="009E2641"/>
    <w:rsid w:val="009E68F2"/>
    <w:rsid w:val="009F703E"/>
    <w:rsid w:val="009F799A"/>
    <w:rsid w:val="00A01D54"/>
    <w:rsid w:val="00A030ED"/>
    <w:rsid w:val="00A03B81"/>
    <w:rsid w:val="00A05FAD"/>
    <w:rsid w:val="00A109B3"/>
    <w:rsid w:val="00A11FB8"/>
    <w:rsid w:val="00A1506A"/>
    <w:rsid w:val="00A20E93"/>
    <w:rsid w:val="00A23066"/>
    <w:rsid w:val="00A24E2C"/>
    <w:rsid w:val="00A264C5"/>
    <w:rsid w:val="00A27B4F"/>
    <w:rsid w:val="00A31910"/>
    <w:rsid w:val="00A4678E"/>
    <w:rsid w:val="00A55EC4"/>
    <w:rsid w:val="00A63BB0"/>
    <w:rsid w:val="00A641DE"/>
    <w:rsid w:val="00A672ED"/>
    <w:rsid w:val="00A713B7"/>
    <w:rsid w:val="00A743B5"/>
    <w:rsid w:val="00A76867"/>
    <w:rsid w:val="00A841D3"/>
    <w:rsid w:val="00A85E89"/>
    <w:rsid w:val="00A862B6"/>
    <w:rsid w:val="00A86312"/>
    <w:rsid w:val="00A95C0F"/>
    <w:rsid w:val="00AB0E34"/>
    <w:rsid w:val="00AB27FE"/>
    <w:rsid w:val="00AB473A"/>
    <w:rsid w:val="00AC11C3"/>
    <w:rsid w:val="00AC1BB2"/>
    <w:rsid w:val="00AC2E1B"/>
    <w:rsid w:val="00AC72FD"/>
    <w:rsid w:val="00AC7741"/>
    <w:rsid w:val="00AC7B1B"/>
    <w:rsid w:val="00AD3004"/>
    <w:rsid w:val="00AE009C"/>
    <w:rsid w:val="00AE4C8F"/>
    <w:rsid w:val="00AE6409"/>
    <w:rsid w:val="00AF0D92"/>
    <w:rsid w:val="00AF360C"/>
    <w:rsid w:val="00AF6CC9"/>
    <w:rsid w:val="00B017E4"/>
    <w:rsid w:val="00B0235C"/>
    <w:rsid w:val="00B06F07"/>
    <w:rsid w:val="00B07CB7"/>
    <w:rsid w:val="00B14DF3"/>
    <w:rsid w:val="00B16588"/>
    <w:rsid w:val="00B1723A"/>
    <w:rsid w:val="00B176E1"/>
    <w:rsid w:val="00B17EDB"/>
    <w:rsid w:val="00B317BB"/>
    <w:rsid w:val="00B35B8E"/>
    <w:rsid w:val="00B366A3"/>
    <w:rsid w:val="00B427F0"/>
    <w:rsid w:val="00B44DC5"/>
    <w:rsid w:val="00B50877"/>
    <w:rsid w:val="00B55301"/>
    <w:rsid w:val="00B55B1C"/>
    <w:rsid w:val="00B6180C"/>
    <w:rsid w:val="00B65613"/>
    <w:rsid w:val="00B72C0A"/>
    <w:rsid w:val="00B7311A"/>
    <w:rsid w:val="00B732FC"/>
    <w:rsid w:val="00B86E53"/>
    <w:rsid w:val="00B90839"/>
    <w:rsid w:val="00B9128D"/>
    <w:rsid w:val="00B918EF"/>
    <w:rsid w:val="00B9265E"/>
    <w:rsid w:val="00B9605B"/>
    <w:rsid w:val="00B96343"/>
    <w:rsid w:val="00B97182"/>
    <w:rsid w:val="00BA030F"/>
    <w:rsid w:val="00BA4D2B"/>
    <w:rsid w:val="00BA61A0"/>
    <w:rsid w:val="00BA6C3C"/>
    <w:rsid w:val="00BA7ECE"/>
    <w:rsid w:val="00BB0593"/>
    <w:rsid w:val="00BB0C16"/>
    <w:rsid w:val="00BB30F6"/>
    <w:rsid w:val="00BC168D"/>
    <w:rsid w:val="00BC5592"/>
    <w:rsid w:val="00BC6174"/>
    <w:rsid w:val="00BC644F"/>
    <w:rsid w:val="00BD3D6F"/>
    <w:rsid w:val="00BD40E9"/>
    <w:rsid w:val="00BD7DA8"/>
    <w:rsid w:val="00BE1D66"/>
    <w:rsid w:val="00BE75DF"/>
    <w:rsid w:val="00BF46BB"/>
    <w:rsid w:val="00BF6298"/>
    <w:rsid w:val="00BF7969"/>
    <w:rsid w:val="00C00B6F"/>
    <w:rsid w:val="00C03F6A"/>
    <w:rsid w:val="00C06F1D"/>
    <w:rsid w:val="00C07A73"/>
    <w:rsid w:val="00C113AC"/>
    <w:rsid w:val="00C12E6B"/>
    <w:rsid w:val="00C13AF0"/>
    <w:rsid w:val="00C17583"/>
    <w:rsid w:val="00C22943"/>
    <w:rsid w:val="00C2341C"/>
    <w:rsid w:val="00C262F3"/>
    <w:rsid w:val="00C323EA"/>
    <w:rsid w:val="00C339E8"/>
    <w:rsid w:val="00C400B4"/>
    <w:rsid w:val="00C419BE"/>
    <w:rsid w:val="00C41F34"/>
    <w:rsid w:val="00C42005"/>
    <w:rsid w:val="00C44EA3"/>
    <w:rsid w:val="00C52B30"/>
    <w:rsid w:val="00C52C94"/>
    <w:rsid w:val="00C57525"/>
    <w:rsid w:val="00C6181A"/>
    <w:rsid w:val="00C65EAF"/>
    <w:rsid w:val="00C708A8"/>
    <w:rsid w:val="00C73299"/>
    <w:rsid w:val="00C83874"/>
    <w:rsid w:val="00C85325"/>
    <w:rsid w:val="00C85C6D"/>
    <w:rsid w:val="00C912A4"/>
    <w:rsid w:val="00C93CE2"/>
    <w:rsid w:val="00CA3EA0"/>
    <w:rsid w:val="00CA7896"/>
    <w:rsid w:val="00CA7EEA"/>
    <w:rsid w:val="00CB27E6"/>
    <w:rsid w:val="00CB2E9C"/>
    <w:rsid w:val="00CC3679"/>
    <w:rsid w:val="00CC5360"/>
    <w:rsid w:val="00CD2EEF"/>
    <w:rsid w:val="00CD3B4F"/>
    <w:rsid w:val="00CD7298"/>
    <w:rsid w:val="00CE1E42"/>
    <w:rsid w:val="00CF0DB2"/>
    <w:rsid w:val="00CF0EC2"/>
    <w:rsid w:val="00CF1113"/>
    <w:rsid w:val="00CF14AC"/>
    <w:rsid w:val="00CF1E5F"/>
    <w:rsid w:val="00CF24D8"/>
    <w:rsid w:val="00CF5D5F"/>
    <w:rsid w:val="00CF767E"/>
    <w:rsid w:val="00D02748"/>
    <w:rsid w:val="00D03CED"/>
    <w:rsid w:val="00D03DBE"/>
    <w:rsid w:val="00D066EF"/>
    <w:rsid w:val="00D10EBB"/>
    <w:rsid w:val="00D1199E"/>
    <w:rsid w:val="00D146BF"/>
    <w:rsid w:val="00D15A04"/>
    <w:rsid w:val="00D15FCD"/>
    <w:rsid w:val="00D16062"/>
    <w:rsid w:val="00D25D64"/>
    <w:rsid w:val="00D33D68"/>
    <w:rsid w:val="00D41345"/>
    <w:rsid w:val="00D42B19"/>
    <w:rsid w:val="00D5552D"/>
    <w:rsid w:val="00D56335"/>
    <w:rsid w:val="00D60457"/>
    <w:rsid w:val="00D608AE"/>
    <w:rsid w:val="00D60A5C"/>
    <w:rsid w:val="00D63362"/>
    <w:rsid w:val="00D671A3"/>
    <w:rsid w:val="00D74B54"/>
    <w:rsid w:val="00D75125"/>
    <w:rsid w:val="00D75EBF"/>
    <w:rsid w:val="00D77FB6"/>
    <w:rsid w:val="00D8265E"/>
    <w:rsid w:val="00D84998"/>
    <w:rsid w:val="00D903B5"/>
    <w:rsid w:val="00D91209"/>
    <w:rsid w:val="00D92CB0"/>
    <w:rsid w:val="00D9431C"/>
    <w:rsid w:val="00D94456"/>
    <w:rsid w:val="00D94BE5"/>
    <w:rsid w:val="00D968CB"/>
    <w:rsid w:val="00DA527C"/>
    <w:rsid w:val="00DA73A3"/>
    <w:rsid w:val="00DB317F"/>
    <w:rsid w:val="00DC061E"/>
    <w:rsid w:val="00DC1F14"/>
    <w:rsid w:val="00DD1EB2"/>
    <w:rsid w:val="00DD3EA7"/>
    <w:rsid w:val="00DD4679"/>
    <w:rsid w:val="00DE1A65"/>
    <w:rsid w:val="00DE76B9"/>
    <w:rsid w:val="00DF04D8"/>
    <w:rsid w:val="00DF0F85"/>
    <w:rsid w:val="00DF0FA8"/>
    <w:rsid w:val="00DF3F74"/>
    <w:rsid w:val="00DF5153"/>
    <w:rsid w:val="00DF67E1"/>
    <w:rsid w:val="00DF6A2C"/>
    <w:rsid w:val="00DF6A80"/>
    <w:rsid w:val="00E00361"/>
    <w:rsid w:val="00E01882"/>
    <w:rsid w:val="00E03CFB"/>
    <w:rsid w:val="00E03E3A"/>
    <w:rsid w:val="00E040A8"/>
    <w:rsid w:val="00E069F0"/>
    <w:rsid w:val="00E2631D"/>
    <w:rsid w:val="00E27E84"/>
    <w:rsid w:val="00E3653F"/>
    <w:rsid w:val="00E547B7"/>
    <w:rsid w:val="00E547EA"/>
    <w:rsid w:val="00E60652"/>
    <w:rsid w:val="00E60B3C"/>
    <w:rsid w:val="00E63BAC"/>
    <w:rsid w:val="00E67C17"/>
    <w:rsid w:val="00E7528B"/>
    <w:rsid w:val="00E763FA"/>
    <w:rsid w:val="00E83475"/>
    <w:rsid w:val="00E86152"/>
    <w:rsid w:val="00E87009"/>
    <w:rsid w:val="00EA6282"/>
    <w:rsid w:val="00EB386D"/>
    <w:rsid w:val="00EB41C2"/>
    <w:rsid w:val="00EB6242"/>
    <w:rsid w:val="00EB67F2"/>
    <w:rsid w:val="00EB77B9"/>
    <w:rsid w:val="00EC06ED"/>
    <w:rsid w:val="00EC1858"/>
    <w:rsid w:val="00EC659E"/>
    <w:rsid w:val="00EC6B11"/>
    <w:rsid w:val="00ED1B8C"/>
    <w:rsid w:val="00ED2809"/>
    <w:rsid w:val="00ED3A9A"/>
    <w:rsid w:val="00ED6A0E"/>
    <w:rsid w:val="00EE078F"/>
    <w:rsid w:val="00EE1D9E"/>
    <w:rsid w:val="00F04D94"/>
    <w:rsid w:val="00F2002A"/>
    <w:rsid w:val="00F2048C"/>
    <w:rsid w:val="00F20ED6"/>
    <w:rsid w:val="00F21B6B"/>
    <w:rsid w:val="00F25A14"/>
    <w:rsid w:val="00F304E8"/>
    <w:rsid w:val="00F31714"/>
    <w:rsid w:val="00F31E1F"/>
    <w:rsid w:val="00F40932"/>
    <w:rsid w:val="00F42B7F"/>
    <w:rsid w:val="00F4365E"/>
    <w:rsid w:val="00F43B1D"/>
    <w:rsid w:val="00F44C76"/>
    <w:rsid w:val="00F458FD"/>
    <w:rsid w:val="00F515D2"/>
    <w:rsid w:val="00F522EB"/>
    <w:rsid w:val="00F55F2A"/>
    <w:rsid w:val="00F57672"/>
    <w:rsid w:val="00F61C16"/>
    <w:rsid w:val="00F62B5F"/>
    <w:rsid w:val="00F6316A"/>
    <w:rsid w:val="00F7060E"/>
    <w:rsid w:val="00F70E08"/>
    <w:rsid w:val="00F74196"/>
    <w:rsid w:val="00F750A8"/>
    <w:rsid w:val="00F824A4"/>
    <w:rsid w:val="00F857F9"/>
    <w:rsid w:val="00F914FE"/>
    <w:rsid w:val="00F9489B"/>
    <w:rsid w:val="00F9589D"/>
    <w:rsid w:val="00F9613F"/>
    <w:rsid w:val="00F9683D"/>
    <w:rsid w:val="00FA0BAA"/>
    <w:rsid w:val="00FA2448"/>
    <w:rsid w:val="00FA2FA6"/>
    <w:rsid w:val="00FA4F05"/>
    <w:rsid w:val="00FA7725"/>
    <w:rsid w:val="00FB0EC8"/>
    <w:rsid w:val="00FB2C51"/>
    <w:rsid w:val="00FB40F5"/>
    <w:rsid w:val="00FB6941"/>
    <w:rsid w:val="00FC0B5E"/>
    <w:rsid w:val="00FC7C5F"/>
    <w:rsid w:val="00FD273C"/>
    <w:rsid w:val="00FE223A"/>
    <w:rsid w:val="00FE5947"/>
    <w:rsid w:val="00FE5AAA"/>
    <w:rsid w:val="00FF1F59"/>
    <w:rsid w:val="00FF3301"/>
    <w:rsid w:val="00FF511C"/>
    <w:rsid w:val="00FF60A3"/>
    <w:rsid w:val="00FF78D4"/>
    <w:rsid w:val="46FCDBD3"/>
    <w:rsid w:val="5C467BC1"/>
    <w:rsid w:val="6B78A3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48B7AC"/>
  <w14:defaultImageDpi w14:val="300"/>
  <w15:docId w15:val="{515ABDE3-BFCB-4D43-AF62-31312DA2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sid w:val="005F2B9C"/>
    <w:rPr>
      <w:color w:val="0000FF" w:themeColor="hyperlink"/>
      <w:u w:val="single"/>
    </w:rPr>
  </w:style>
  <w:style w:type="paragraph" w:styleId="ListParagraph">
    <w:name w:val="List Paragraph"/>
    <w:basedOn w:val="Normal"/>
    <w:uiPriority w:val="34"/>
    <w:qFormat/>
    <w:rsid w:val="009D07E1"/>
    <w:pPr>
      <w:numPr>
        <w:numId w:val="13"/>
      </w:numPr>
      <w:spacing w:before="40" w:after="180"/>
      <w:contextualSpacing/>
      <w:jc w:val="both"/>
    </w:pPr>
    <w:rPr>
      <w:rFonts w:cs="Arial"/>
      <w:sz w:val="18"/>
      <w:szCs w:val="18"/>
    </w:rPr>
  </w:style>
  <w:style w:type="paragraph" w:customStyle="1" w:styleId="GMCNumbertext">
    <w:name w:val="GMC Number text"/>
    <w:basedOn w:val="Normal"/>
    <w:link w:val="GMCNumbertextChar"/>
    <w:rsid w:val="00BC644F"/>
    <w:pPr>
      <w:numPr>
        <w:numId w:val="1"/>
      </w:numPr>
      <w:spacing w:after="280" w:line="320" w:lineRule="exact"/>
    </w:pPr>
    <w:rPr>
      <w:rFonts w:ascii="Tahoma" w:eastAsia="Times New Roman" w:hAnsi="Tahoma" w:cs="Times New Roman"/>
      <w:color w:val="000000"/>
    </w:rPr>
  </w:style>
  <w:style w:type="character" w:customStyle="1" w:styleId="GMCNumbertextChar">
    <w:name w:val="GMC Number text Char"/>
    <w:link w:val="GMCNumbertext"/>
    <w:rsid w:val="00BC644F"/>
    <w:rPr>
      <w:rFonts w:ascii="Tahoma" w:eastAsia="Times New Roman" w:hAnsi="Tahoma" w:cs="Times New Roman"/>
      <w:color w:val="000000"/>
    </w:rPr>
  </w:style>
  <w:style w:type="paragraph" w:styleId="ListNumber">
    <w:name w:val="List Number"/>
    <w:basedOn w:val="Normal"/>
    <w:rsid w:val="00BC644F"/>
    <w:pPr>
      <w:numPr>
        <w:numId w:val="2"/>
      </w:numPr>
      <w:spacing w:after="280" w:line="320" w:lineRule="exact"/>
    </w:pPr>
    <w:rPr>
      <w:rFonts w:ascii="Tahoma" w:eastAsia="Times New Roman" w:hAnsi="Tahoma" w:cs="Times New Roman"/>
      <w:color w:val="000000"/>
    </w:rPr>
  </w:style>
  <w:style w:type="paragraph" w:customStyle="1" w:styleId="Default">
    <w:name w:val="Default"/>
    <w:rsid w:val="00BC644F"/>
    <w:pPr>
      <w:autoSpaceDE w:val="0"/>
      <w:autoSpaceDN w:val="0"/>
      <w:adjustRightInd w:val="0"/>
    </w:pPr>
    <w:rPr>
      <w:rFonts w:ascii="Tahoma" w:eastAsia="Times New Roman" w:hAnsi="Tahoma" w:cs="Tahoma"/>
      <w:color w:val="000000"/>
      <w:lang w:eastAsia="en-GB"/>
    </w:rPr>
  </w:style>
  <w:style w:type="paragraph" w:styleId="BodyTextIndent">
    <w:name w:val="Body Text Indent"/>
    <w:basedOn w:val="Normal"/>
    <w:link w:val="BodyTextIndentChar"/>
    <w:uiPriority w:val="99"/>
    <w:unhideWhenUsed/>
    <w:rsid w:val="00BC644F"/>
    <w:pPr>
      <w:spacing w:before="40" w:after="120" w:line="288" w:lineRule="auto"/>
      <w:ind w:left="283"/>
      <w:jc w:val="both"/>
    </w:pPr>
    <w:rPr>
      <w:rFonts w:ascii="Times New Roman" w:eastAsia="Times New Roman" w:hAnsi="Times New Roman" w:cs="Times New Roman"/>
      <w:sz w:val="22"/>
      <w:szCs w:val="22"/>
      <w:lang w:eastAsia="en-GB"/>
    </w:rPr>
  </w:style>
  <w:style w:type="character" w:customStyle="1" w:styleId="BodyTextIndentChar">
    <w:name w:val="Body Text Indent Char"/>
    <w:basedOn w:val="DefaultParagraphFont"/>
    <w:link w:val="BodyTextIndent"/>
    <w:uiPriority w:val="99"/>
    <w:rsid w:val="00BC644F"/>
    <w:rPr>
      <w:rFonts w:ascii="Times New Roman" w:eastAsia="Times New Roman" w:hAnsi="Times New Roman" w:cs="Times New Roman"/>
      <w:sz w:val="22"/>
      <w:szCs w:val="22"/>
      <w:lang w:eastAsia="en-GB"/>
    </w:rPr>
  </w:style>
  <w:style w:type="character" w:customStyle="1" w:styleId="Style2">
    <w:name w:val="Style2"/>
    <w:uiPriority w:val="1"/>
    <w:rsid w:val="00BC644F"/>
    <w:rPr>
      <w:rFonts w:ascii="Arial" w:hAnsi="Arial"/>
      <w:sz w:val="22"/>
    </w:rPr>
  </w:style>
  <w:style w:type="table" w:styleId="TableGrid">
    <w:name w:val="Table Grid"/>
    <w:basedOn w:val="TableNormal"/>
    <w:uiPriority w:val="59"/>
    <w:rsid w:val="00F3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407"/>
    <w:rPr>
      <w:sz w:val="16"/>
      <w:szCs w:val="16"/>
    </w:rPr>
  </w:style>
  <w:style w:type="paragraph" w:styleId="CommentText">
    <w:name w:val="annotation text"/>
    <w:basedOn w:val="Normal"/>
    <w:link w:val="CommentTextChar"/>
    <w:uiPriority w:val="99"/>
    <w:semiHidden/>
    <w:unhideWhenUsed/>
    <w:rsid w:val="006D6407"/>
    <w:rPr>
      <w:sz w:val="20"/>
      <w:szCs w:val="20"/>
    </w:rPr>
  </w:style>
  <w:style w:type="character" w:customStyle="1" w:styleId="CommentTextChar">
    <w:name w:val="Comment Text Char"/>
    <w:basedOn w:val="DefaultParagraphFont"/>
    <w:link w:val="CommentText"/>
    <w:uiPriority w:val="99"/>
    <w:semiHidden/>
    <w:rsid w:val="006D6407"/>
    <w:rPr>
      <w:sz w:val="20"/>
      <w:szCs w:val="20"/>
    </w:rPr>
  </w:style>
  <w:style w:type="paragraph" w:styleId="CommentSubject">
    <w:name w:val="annotation subject"/>
    <w:basedOn w:val="CommentText"/>
    <w:next w:val="CommentText"/>
    <w:link w:val="CommentSubjectChar"/>
    <w:uiPriority w:val="99"/>
    <w:semiHidden/>
    <w:unhideWhenUsed/>
    <w:rsid w:val="006D6407"/>
    <w:rPr>
      <w:b/>
      <w:bCs/>
    </w:rPr>
  </w:style>
  <w:style w:type="character" w:customStyle="1" w:styleId="CommentSubjectChar">
    <w:name w:val="Comment Subject Char"/>
    <w:basedOn w:val="CommentTextChar"/>
    <w:link w:val="CommentSubject"/>
    <w:uiPriority w:val="99"/>
    <w:semiHidden/>
    <w:rsid w:val="006D64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18755055">
      <w:bodyDiv w:val="1"/>
      <w:marLeft w:val="0"/>
      <w:marRight w:val="0"/>
      <w:marTop w:val="0"/>
      <w:marBottom w:val="0"/>
      <w:divBdr>
        <w:top w:val="none" w:sz="0" w:space="0" w:color="auto"/>
        <w:left w:val="none" w:sz="0" w:space="0" w:color="auto"/>
        <w:bottom w:val="none" w:sz="0" w:space="0" w:color="auto"/>
        <w:right w:val="none" w:sz="0" w:space="0" w:color="auto"/>
      </w:divBdr>
    </w:div>
    <w:div w:id="1333869656">
      <w:bodyDiv w:val="1"/>
      <w:marLeft w:val="0"/>
      <w:marRight w:val="0"/>
      <w:marTop w:val="0"/>
      <w:marBottom w:val="0"/>
      <w:divBdr>
        <w:top w:val="none" w:sz="0" w:space="0" w:color="auto"/>
        <w:left w:val="none" w:sz="0" w:space="0" w:color="auto"/>
        <w:bottom w:val="none" w:sz="0" w:space="0" w:color="auto"/>
        <w:right w:val="none" w:sz="0" w:space="0" w:color="auto"/>
      </w:divBdr>
    </w:div>
    <w:div w:id="1709991684">
      <w:bodyDiv w:val="1"/>
      <w:marLeft w:val="0"/>
      <w:marRight w:val="0"/>
      <w:marTop w:val="0"/>
      <w:marBottom w:val="0"/>
      <w:divBdr>
        <w:top w:val="none" w:sz="0" w:space="0" w:color="auto"/>
        <w:left w:val="none" w:sz="0" w:space="0" w:color="auto"/>
        <w:bottom w:val="none" w:sz="0" w:space="0" w:color="auto"/>
        <w:right w:val="none" w:sz="0" w:space="0" w:color="auto"/>
      </w:divBdr>
    </w:div>
    <w:div w:id="1827427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4A11782DC99AF4A9AA00BCD9BCD2833" ma:contentTypeVersion="6" ma:contentTypeDescription="Create a new document." ma:contentTypeScope="" ma:versionID="44e0854fb1401851b28adfd7f597982f">
  <xsd:schema xmlns:xsd="http://www.w3.org/2001/XMLSchema" xmlns:xs="http://www.w3.org/2001/XMLSchema" xmlns:p="http://schemas.microsoft.com/office/2006/metadata/properties" xmlns:ns2="7a933ccb-0768-4335-adad-3887e8535d57" xmlns:ns3="5f76a03e-dfa0-456f-ba13-006f45b9e7a4" targetNamespace="http://schemas.microsoft.com/office/2006/metadata/properties" ma:root="true" ma:fieldsID="22224fa979c086cebba6ecaa76868f1a" ns2:_="" ns3:_="">
    <xsd:import namespace="7a933ccb-0768-4335-adad-3887e8535d57"/>
    <xsd:import namespace="5f76a03e-dfa0-456f-ba13-006f45b9e7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33ccb-0768-4335-adad-3887e8535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76a03e-dfa0-456f-ba13-006f45b9e7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30F30-8043-41CD-ACB7-CC7ADAB5D68B}">
  <ds:schemaRefs>
    <ds:schemaRef ds:uri="http://schemas.microsoft.com/sharepoint/v3/contenttype/forms"/>
  </ds:schemaRefs>
</ds:datastoreItem>
</file>

<file path=customXml/itemProps2.xml><?xml version="1.0" encoding="utf-8"?>
<ds:datastoreItem xmlns:ds="http://schemas.openxmlformats.org/officeDocument/2006/customXml" ds:itemID="{587B47E4-FCA9-45C6-B26B-241E6DCB46DA}">
  <ds:schemaRefs>
    <ds:schemaRef ds:uri="http://schemas.openxmlformats.org/officeDocument/2006/bibliography"/>
  </ds:schemaRefs>
</ds:datastoreItem>
</file>

<file path=customXml/itemProps3.xml><?xml version="1.0" encoding="utf-8"?>
<ds:datastoreItem xmlns:ds="http://schemas.openxmlformats.org/officeDocument/2006/customXml" ds:itemID="{3054BE9D-600F-44D5-97FC-9A166A633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33ccb-0768-4335-adad-3887e8535d57"/>
    <ds:schemaRef ds:uri="5f76a03e-dfa0-456f-ba13-006f45b9e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31DE3-34F5-4564-8B73-DE1899F198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Harrison</dc:creator>
  <cp:lastModifiedBy>Dee Holley</cp:lastModifiedBy>
  <cp:revision>2</cp:revision>
  <dcterms:created xsi:type="dcterms:W3CDTF">2020-10-29T13:10:00Z</dcterms:created>
  <dcterms:modified xsi:type="dcterms:W3CDTF">2020-10-29T13:10:00Z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0x01010044A11782DC99AF4A9AA00BCD9BCD2833</vt:lpwstr>
  </property>
</Properties>
</file>